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B669A0" w:rsidRDefault="00B669A0" w:rsidP="00B669A0">
      <w:pPr>
        <w:spacing w:after="0"/>
        <w:jc w:val="center"/>
        <w:rPr>
          <w:b/>
          <w:bCs/>
          <w:lang w:val="en-GB"/>
        </w:rPr>
      </w:pPr>
      <w:r w:rsidRPr="00B669A0">
        <w:rPr>
          <w:b/>
          <w:bCs/>
          <w:lang w:val="en-GB"/>
        </w:rPr>
        <w:t>TARGETED STAKEHOLDER CONSULTATION 2021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5AED5770" w14:textId="77777777" w:rsidR="008F5F0F" w:rsidRDefault="008F5F0F" w:rsidP="00815599">
      <w:pPr>
        <w:jc w:val="both"/>
        <w:rPr>
          <w:lang w:val="en-AU"/>
        </w:rPr>
      </w:pPr>
    </w:p>
    <w:p w14:paraId="465166AB" w14:textId="5860FC38" w:rsidR="001B7CA2" w:rsidRDefault="00F75ED9" w:rsidP="00B669A0">
      <w:pPr>
        <w:pBdr>
          <w:bottom w:val="single" w:sz="4" w:space="1" w:color="auto"/>
        </w:pBdr>
        <w:rPr>
          <w:b/>
          <w:bCs/>
          <w:lang w:val="en-GB"/>
        </w:rPr>
      </w:pPr>
      <w:r>
        <w:rPr>
          <w:b/>
          <w:bCs/>
          <w:lang w:val="en-AU"/>
        </w:rPr>
        <w:t>ESTONIA</w:t>
      </w:r>
      <w:r w:rsidR="00B669A0" w:rsidRPr="008D1682">
        <w:rPr>
          <w:b/>
          <w:bCs/>
          <w:lang w:val="en-AU"/>
        </w:rPr>
        <w:t xml:space="preserve"> REVIEW</w:t>
      </w:r>
    </w:p>
    <w:p w14:paraId="2EEF89E7" w14:textId="77777777" w:rsidR="001B7CA2" w:rsidRPr="001B7CA2" w:rsidRDefault="001B7CA2" w:rsidP="001B7CA2">
      <w:pPr>
        <w:rPr>
          <w:lang w:val="en-GB"/>
        </w:rPr>
      </w:pPr>
      <w:r w:rsidRPr="001B7CA2">
        <w:rPr>
          <w:b/>
          <w:bCs/>
          <w:lang w:val="en-GB"/>
        </w:rPr>
        <w:t xml:space="preserve">I. Justice System </w:t>
      </w:r>
    </w:p>
    <w:p w14:paraId="368A2681" w14:textId="77777777" w:rsidR="001B7CA2" w:rsidRPr="001B7CA2" w:rsidRDefault="001B7CA2" w:rsidP="001B7CA2">
      <w:pPr>
        <w:rPr>
          <w:lang w:val="en-GB"/>
        </w:rPr>
      </w:pPr>
      <w:r w:rsidRPr="001B7CA2">
        <w:rPr>
          <w:b/>
          <w:bCs/>
          <w:i/>
          <w:iCs/>
          <w:lang w:val="en-GB"/>
        </w:rPr>
        <w:t xml:space="preserve">A. Independence </w:t>
      </w:r>
    </w:p>
    <w:p w14:paraId="6CF3F68E" w14:textId="77777777" w:rsidR="001B7CA2" w:rsidRPr="001B7CA2" w:rsidRDefault="001B7CA2" w:rsidP="001B7CA2">
      <w:pPr>
        <w:rPr>
          <w:lang w:val="en-GB"/>
        </w:rPr>
      </w:pPr>
      <w:r w:rsidRPr="001B7CA2">
        <w:rPr>
          <w:i/>
          <w:iCs/>
          <w:lang w:val="en-GB"/>
        </w:rPr>
        <w:t xml:space="preserve">1. Appointment and selection of judges, prosecutors and court presidents </w:t>
      </w:r>
    </w:p>
    <w:p w14:paraId="6646A1AA" w14:textId="77777777" w:rsidR="001B7CA2" w:rsidRPr="001B7CA2" w:rsidRDefault="001B7CA2" w:rsidP="001B7CA2">
      <w:pPr>
        <w:rPr>
          <w:lang w:val="en-GB"/>
        </w:rPr>
      </w:pPr>
      <w:r w:rsidRPr="001B7CA2">
        <w:rPr>
          <w:i/>
          <w:iCs/>
          <w:lang w:val="en-GB"/>
        </w:rPr>
        <w:t xml:space="preserve">2. Irremovability of judges; including transfers, dismissal and retirement regime of judges, court presidents and prosecutors </w:t>
      </w:r>
    </w:p>
    <w:p w14:paraId="3EB4EF2B" w14:textId="77777777" w:rsidR="001B7CA2" w:rsidRPr="001B7CA2" w:rsidRDefault="001B7CA2" w:rsidP="001B7CA2">
      <w:pPr>
        <w:rPr>
          <w:lang w:val="en-GB"/>
        </w:rPr>
      </w:pPr>
      <w:r w:rsidRPr="001B7CA2">
        <w:rPr>
          <w:i/>
          <w:iCs/>
          <w:lang w:val="en-GB"/>
        </w:rPr>
        <w:t xml:space="preserve">3. Promotion of judges and prosecutors </w:t>
      </w:r>
    </w:p>
    <w:p w14:paraId="3E481A7D" w14:textId="77777777" w:rsidR="001B7CA2" w:rsidRPr="001B7CA2" w:rsidRDefault="001B7CA2" w:rsidP="001B7CA2">
      <w:pPr>
        <w:rPr>
          <w:lang w:val="en-GB"/>
        </w:rPr>
      </w:pPr>
      <w:r w:rsidRPr="001B7CA2">
        <w:rPr>
          <w:i/>
          <w:iCs/>
          <w:lang w:val="en-GB"/>
        </w:rPr>
        <w:t xml:space="preserve">4. Allocation of cases in courts </w:t>
      </w:r>
    </w:p>
    <w:p w14:paraId="6F2D0D64" w14:textId="77777777" w:rsidR="001B7CA2" w:rsidRPr="001B7CA2" w:rsidRDefault="001B7CA2" w:rsidP="001B7CA2">
      <w:pPr>
        <w:rPr>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2E67A952" w14:textId="77777777" w:rsidR="001B7CA2" w:rsidRPr="001B7CA2" w:rsidRDefault="001B7CA2" w:rsidP="001B7CA2">
      <w:pPr>
        <w:rPr>
          <w:lang w:val="en-GB"/>
        </w:rPr>
      </w:pPr>
      <w:r w:rsidRPr="001B7CA2">
        <w:rPr>
          <w:i/>
          <w:iCs/>
          <w:lang w:val="en-GB"/>
        </w:rPr>
        <w:t xml:space="preserve">6. Accountability of judges and prosecutors, including disciplinary regime and bodies and ethical rules, judicial immunity and criminal liability of judges. </w:t>
      </w:r>
    </w:p>
    <w:p w14:paraId="59D76928" w14:textId="77777777" w:rsidR="001B7CA2" w:rsidRPr="001B7CA2" w:rsidRDefault="001B7CA2" w:rsidP="001B7CA2">
      <w:pPr>
        <w:rPr>
          <w:lang w:val="en-GB"/>
        </w:rPr>
      </w:pPr>
      <w:r w:rsidRPr="001B7CA2">
        <w:rPr>
          <w:i/>
          <w:iCs/>
          <w:lang w:val="en-GB"/>
        </w:rPr>
        <w:t xml:space="preserve">7. Remuneration/bonuses for judges and prosecutors </w:t>
      </w:r>
    </w:p>
    <w:p w14:paraId="37EA107A" w14:textId="77777777" w:rsidR="001B7CA2" w:rsidRPr="001B7CA2" w:rsidRDefault="001B7CA2" w:rsidP="001B7CA2">
      <w:pPr>
        <w:rPr>
          <w:lang w:val="en-GB"/>
        </w:rPr>
      </w:pPr>
      <w:r w:rsidRPr="001B7CA2">
        <w:rPr>
          <w:i/>
          <w:iCs/>
          <w:lang w:val="en-GB"/>
        </w:rPr>
        <w:t xml:space="preserve">8. Independence/autonomy of the prosecution service </w:t>
      </w:r>
    </w:p>
    <w:p w14:paraId="2986F635" w14:textId="77777777" w:rsidR="001B7CA2" w:rsidRPr="001B7CA2" w:rsidRDefault="001B7CA2" w:rsidP="001B7CA2">
      <w:pPr>
        <w:rPr>
          <w:lang w:val="en-GB"/>
        </w:rPr>
      </w:pPr>
      <w:r w:rsidRPr="001B7CA2">
        <w:rPr>
          <w:i/>
          <w:iCs/>
          <w:lang w:val="en-GB"/>
        </w:rPr>
        <w:t xml:space="preserve">9. Independence of the Bar (chamber/association of lawyers) and of lawyers </w:t>
      </w:r>
    </w:p>
    <w:p w14:paraId="39A01995" w14:textId="3A7DB041" w:rsidR="001B7CA2" w:rsidRDefault="001B7CA2" w:rsidP="001B7CA2">
      <w:pPr>
        <w:rPr>
          <w:i/>
          <w:iCs/>
          <w:lang w:val="en-GB"/>
        </w:rPr>
      </w:pPr>
      <w:r w:rsidRPr="001B7CA2">
        <w:rPr>
          <w:i/>
          <w:iCs/>
          <w:lang w:val="en-GB"/>
        </w:rPr>
        <w:t xml:space="preserve">10. Significant developments capable of affecting the perception that the general public has of the independence of the judiciary </w:t>
      </w:r>
    </w:p>
    <w:p w14:paraId="02DF6FEE" w14:textId="74B9465D" w:rsidR="00F75ED9" w:rsidRPr="00F75ED9" w:rsidRDefault="00F75ED9" w:rsidP="00F75ED9">
      <w:pPr>
        <w:jc w:val="both"/>
        <w:rPr>
          <w:bCs/>
          <w:iCs/>
          <w:lang w:val="en-AU"/>
        </w:rPr>
      </w:pPr>
      <w:r w:rsidRPr="00F75ED9">
        <w:rPr>
          <w:bCs/>
          <w:iCs/>
          <w:lang w:val="en-AU"/>
        </w:rPr>
        <w:t>The UN Human Rights Committee, in its 2019 concluding observations</w:t>
      </w:r>
      <w:r>
        <w:rPr>
          <w:bCs/>
          <w:iCs/>
          <w:lang w:val="en-AU"/>
        </w:rPr>
        <w:t>, expressed concern</w:t>
      </w:r>
      <w:r w:rsidRPr="001D5D65">
        <w:rPr>
          <w:iCs/>
          <w:lang w:val="en-US"/>
        </w:rPr>
        <w:t xml:space="preserve"> about the significantly low number of convictions for torture and ill-treatment, and regret</w:t>
      </w:r>
      <w:r w:rsidRPr="00F75ED9">
        <w:rPr>
          <w:iCs/>
          <w:lang w:val="en-GB"/>
        </w:rPr>
        <w:t>ted</w:t>
      </w:r>
      <w:r w:rsidRPr="001D5D65">
        <w:rPr>
          <w:iCs/>
          <w:lang w:val="en-US"/>
        </w:rPr>
        <w:t xml:space="preserve"> the paucity of information on the procedure for investigating such allegations and on the independence of existing investigative bodies. </w:t>
      </w:r>
      <w:r w:rsidRPr="00F75ED9">
        <w:rPr>
          <w:bCs/>
          <w:iCs/>
          <w:lang w:val="en-AU"/>
        </w:rPr>
        <w:t xml:space="preserve">It found Estonia </w:t>
      </w:r>
      <w:r w:rsidRPr="00F75ED9">
        <w:rPr>
          <w:iCs/>
          <w:lang w:val="en-GB"/>
        </w:rPr>
        <w:t>should ensure that all allegations of torture and ill-treatment are promptly and thoroughly investigated by an effective and fully independent and impartial body, that perpetrators are prosecuted and, if convicted, punished with sanctions commensurate with the nature and gravity of the crime, and that victims and, where appropriate, their families are provided with full reparation, including rehabilita</w:t>
      </w:r>
      <w:r>
        <w:rPr>
          <w:iCs/>
          <w:lang w:val="en-GB"/>
        </w:rPr>
        <w:t xml:space="preserve">tion and adequate compensation </w:t>
      </w:r>
      <w:r w:rsidRPr="00F75ED9">
        <w:rPr>
          <w:iCs/>
          <w:lang w:val="en-GB"/>
        </w:rPr>
        <w:t>(</w:t>
      </w:r>
      <w:hyperlink r:id="rId8" w:history="1">
        <w:r w:rsidRPr="001D5D65">
          <w:rPr>
            <w:rStyle w:val="Hyperlink"/>
            <w:iCs/>
            <w:lang w:val="en-GB"/>
          </w:rPr>
          <w:t>CCPR/C/EST/CO/4</w:t>
        </w:r>
      </w:hyperlink>
      <w:r w:rsidR="00CA3CA2">
        <w:rPr>
          <w:iCs/>
          <w:lang w:val="en-GB"/>
        </w:rPr>
        <w:t>, para</w:t>
      </w:r>
      <w:r w:rsidRPr="00F75ED9">
        <w:rPr>
          <w:iCs/>
          <w:lang w:val="en-GB"/>
        </w:rPr>
        <w:t xml:space="preserve"> 19, 20)</w:t>
      </w:r>
      <w:r>
        <w:rPr>
          <w:iCs/>
          <w:lang w:val="en-GB"/>
        </w:rPr>
        <w:t>.</w:t>
      </w:r>
    </w:p>
    <w:p w14:paraId="4E024A29" w14:textId="77777777" w:rsidR="001B7CA2" w:rsidRPr="001B7CA2" w:rsidRDefault="001B7CA2" w:rsidP="001B7CA2">
      <w:pPr>
        <w:rPr>
          <w:lang w:val="en-GB"/>
        </w:rPr>
      </w:pPr>
      <w:r w:rsidRPr="001B7CA2">
        <w:rPr>
          <w:lang w:val="en-GB"/>
        </w:rPr>
        <w:t xml:space="preserve"> </w:t>
      </w:r>
      <w:r w:rsidRPr="001B7CA2">
        <w:rPr>
          <w:b/>
          <w:bCs/>
          <w:i/>
          <w:iCs/>
          <w:lang w:val="en-GB"/>
        </w:rPr>
        <w:t xml:space="preserve">B. Quality of justice </w:t>
      </w:r>
    </w:p>
    <w:p w14:paraId="5D6F073D" w14:textId="1D685534" w:rsidR="00F75ED9" w:rsidRPr="00F75ED9" w:rsidRDefault="001B7CA2" w:rsidP="001B7CA2">
      <w:pPr>
        <w:rPr>
          <w:i/>
          <w:iCs/>
          <w:lang w:val="en-GB"/>
        </w:rPr>
      </w:pPr>
      <w:r w:rsidRPr="001B7CA2">
        <w:rPr>
          <w:i/>
          <w:iCs/>
          <w:lang w:val="en-GB"/>
        </w:rPr>
        <w:t xml:space="preserve">11. Accessibility of courts (e.g. court fees, legal aid, language) </w:t>
      </w:r>
    </w:p>
    <w:p w14:paraId="5918DAB5" w14:textId="569929FB" w:rsidR="001832F3" w:rsidRDefault="00F75ED9" w:rsidP="00F75ED9">
      <w:pPr>
        <w:jc w:val="both"/>
        <w:rPr>
          <w:iCs/>
          <w:lang w:val="en-GB"/>
        </w:rPr>
      </w:pPr>
      <w:r w:rsidRPr="00F75ED9">
        <w:rPr>
          <w:bCs/>
          <w:iCs/>
          <w:lang w:val="en-AU"/>
        </w:rPr>
        <w:t xml:space="preserve">In its 2019 concluding observations, the UN Human Rights Committee </w:t>
      </w:r>
      <w:r w:rsidRPr="00F75ED9">
        <w:rPr>
          <w:iCs/>
          <w:lang w:val="en-GB"/>
        </w:rPr>
        <w:t>noted that</w:t>
      </w:r>
      <w:r w:rsidRPr="001D5D65">
        <w:rPr>
          <w:iCs/>
          <w:lang w:val="en-US"/>
        </w:rPr>
        <w:t xml:space="preserve"> notification of custody may be denied with the permission of the relevant prosecutor’s office if such notification would prejudice a criminal proceeding, and that the duration of the delay of notification </w:t>
      </w:r>
      <w:r w:rsidRPr="00F75ED9">
        <w:rPr>
          <w:iCs/>
          <w:lang w:val="en-US"/>
        </w:rPr>
        <w:t>is</w:t>
      </w:r>
      <w:r w:rsidRPr="001D5D65">
        <w:rPr>
          <w:iCs/>
          <w:lang w:val="en-US"/>
        </w:rPr>
        <w:t xml:space="preserve"> based on the principle of proportionality</w:t>
      </w:r>
      <w:r w:rsidRPr="00F75ED9">
        <w:rPr>
          <w:iCs/>
          <w:lang w:val="en-US"/>
        </w:rPr>
        <w:t xml:space="preserve">. Nonetheless, </w:t>
      </w:r>
      <w:r w:rsidRPr="001D5D65">
        <w:rPr>
          <w:iCs/>
          <w:lang w:val="en-US"/>
        </w:rPr>
        <w:t xml:space="preserve">the Committee </w:t>
      </w:r>
      <w:r w:rsidRPr="00F75ED9">
        <w:rPr>
          <w:iCs/>
          <w:lang w:val="en-GB"/>
        </w:rPr>
        <w:t xml:space="preserve">was </w:t>
      </w:r>
      <w:r w:rsidRPr="001D5D65">
        <w:rPr>
          <w:iCs/>
          <w:lang w:val="en-US"/>
        </w:rPr>
        <w:t xml:space="preserve">concerned  that exception and the safeguards against its misuse </w:t>
      </w:r>
      <w:r w:rsidRPr="00F75ED9">
        <w:rPr>
          <w:iCs/>
          <w:lang w:val="en-GB"/>
        </w:rPr>
        <w:t>were</w:t>
      </w:r>
      <w:r w:rsidRPr="001D5D65">
        <w:rPr>
          <w:iCs/>
          <w:lang w:val="en-US"/>
        </w:rPr>
        <w:t xml:space="preserve"> not clearly defined, and note</w:t>
      </w:r>
      <w:r w:rsidRPr="00F75ED9">
        <w:rPr>
          <w:iCs/>
          <w:lang w:val="en-US"/>
        </w:rPr>
        <w:t>d</w:t>
      </w:r>
      <w:r w:rsidRPr="001D5D65">
        <w:rPr>
          <w:iCs/>
          <w:lang w:val="en-US"/>
        </w:rPr>
        <w:t xml:space="preserve"> the absence of a statutory limit for the deferral of notification. The Committee </w:t>
      </w:r>
      <w:r w:rsidRPr="00F75ED9">
        <w:rPr>
          <w:iCs/>
          <w:lang w:val="en-GB"/>
        </w:rPr>
        <w:t>was</w:t>
      </w:r>
      <w:r w:rsidRPr="001D5D65">
        <w:rPr>
          <w:iCs/>
          <w:lang w:val="en-US"/>
        </w:rPr>
        <w:t xml:space="preserve"> also concerned about reports that persons deprived of their liberty me</w:t>
      </w:r>
      <w:r w:rsidRPr="00F75ED9">
        <w:rPr>
          <w:iCs/>
          <w:lang w:val="en-GB"/>
        </w:rPr>
        <w:t>t</w:t>
      </w:r>
      <w:r w:rsidRPr="001D5D65">
        <w:rPr>
          <w:iCs/>
          <w:lang w:val="en-US"/>
        </w:rPr>
        <w:t xml:space="preserve"> their State-appointed lawyer for the first time at the court hearing, even in cases </w:t>
      </w:r>
      <w:r w:rsidRPr="001D5D65">
        <w:rPr>
          <w:iCs/>
          <w:lang w:val="en-US"/>
        </w:rPr>
        <w:lastRenderedPageBreak/>
        <w:t>where counsel was requested shortly after their detention</w:t>
      </w:r>
      <w:r w:rsidRPr="00F75ED9">
        <w:rPr>
          <w:iCs/>
          <w:lang w:val="en-US"/>
        </w:rPr>
        <w:t>.</w:t>
      </w:r>
      <w:r w:rsidRPr="001D5D65">
        <w:rPr>
          <w:iCs/>
          <w:lang w:val="en-US"/>
        </w:rPr>
        <w:t xml:space="preserve"> </w:t>
      </w:r>
      <w:r w:rsidRPr="00F75ED9">
        <w:rPr>
          <w:iCs/>
          <w:lang w:val="en-GB"/>
        </w:rPr>
        <w:t>It found that Estonia</w:t>
      </w:r>
      <w:r w:rsidRPr="001D5D65">
        <w:rPr>
          <w:iCs/>
          <w:lang w:val="en-US"/>
        </w:rPr>
        <w:t xml:space="preserve"> should ensure that any exceptions to the right of notification of custody </w:t>
      </w:r>
      <w:r w:rsidRPr="00F75ED9">
        <w:rPr>
          <w:iCs/>
          <w:lang w:val="en-GB"/>
        </w:rPr>
        <w:t>be</w:t>
      </w:r>
      <w:r w:rsidRPr="001D5D65">
        <w:rPr>
          <w:iCs/>
          <w:lang w:val="en-US"/>
        </w:rPr>
        <w:t xml:space="preserve"> clearly defined and time-b</w:t>
      </w:r>
      <w:r w:rsidR="00BA4E19">
        <w:rPr>
          <w:iCs/>
          <w:lang w:val="en-BE"/>
        </w:rPr>
        <w:t>ound</w:t>
      </w:r>
      <w:r>
        <w:rPr>
          <w:iCs/>
          <w:lang w:val="en-US"/>
        </w:rPr>
        <w:t xml:space="preserve">. </w:t>
      </w:r>
      <w:r w:rsidRPr="001D5D65">
        <w:rPr>
          <w:iCs/>
          <w:lang w:val="en-US"/>
        </w:rPr>
        <w:t xml:space="preserve">That sufficient safeguards </w:t>
      </w:r>
      <w:r w:rsidRPr="00F75ED9">
        <w:rPr>
          <w:iCs/>
          <w:lang w:val="en-GB"/>
        </w:rPr>
        <w:t>be</w:t>
      </w:r>
      <w:r w:rsidRPr="001D5D65">
        <w:rPr>
          <w:iCs/>
          <w:lang w:val="en-US"/>
        </w:rPr>
        <w:t xml:space="preserve"> in place against the misuse of such exceptions; and that detainees in criminal cases have prompt access to counsel from the outset of detention </w:t>
      </w:r>
      <w:r w:rsidRPr="00F75ED9">
        <w:rPr>
          <w:iCs/>
          <w:lang w:val="en-GB"/>
        </w:rPr>
        <w:t>(</w:t>
      </w:r>
      <w:hyperlink r:id="rId9" w:history="1">
        <w:r w:rsidRPr="00F75ED9">
          <w:rPr>
            <w:rStyle w:val="Hyperlink"/>
            <w:iCs/>
            <w:lang w:val="en-GB"/>
          </w:rPr>
          <w:t>CCPR/C/EST/CO/4</w:t>
        </w:r>
      </w:hyperlink>
      <w:r w:rsidR="00CA3CA2">
        <w:rPr>
          <w:rStyle w:val="Hyperlink"/>
          <w:iCs/>
          <w:lang w:val="en-GB"/>
        </w:rPr>
        <w:t>,</w:t>
      </w:r>
      <w:r w:rsidR="00CA3CA2">
        <w:rPr>
          <w:iCs/>
          <w:lang w:val="en-GB"/>
        </w:rPr>
        <w:t xml:space="preserve"> para</w:t>
      </w:r>
      <w:r w:rsidRPr="00F75ED9">
        <w:rPr>
          <w:iCs/>
          <w:lang w:val="en-GB"/>
        </w:rPr>
        <w:t xml:space="preserve"> 25, 26)</w:t>
      </w:r>
      <w:r>
        <w:rPr>
          <w:iCs/>
          <w:lang w:val="en-GB"/>
        </w:rPr>
        <w:t>.</w:t>
      </w:r>
    </w:p>
    <w:p w14:paraId="5901B04E" w14:textId="23DC6D57" w:rsidR="001B7CA2" w:rsidRPr="001B7CA2" w:rsidRDefault="001B7CA2" w:rsidP="001B7CA2">
      <w:pPr>
        <w:rPr>
          <w:lang w:val="en-GB"/>
        </w:rPr>
      </w:pPr>
      <w:r w:rsidRPr="001B7CA2">
        <w:rPr>
          <w:i/>
          <w:iCs/>
          <w:lang w:val="en-GB"/>
        </w:rPr>
        <w:t xml:space="preserve">12. Resources of the judiciary (human/financial/material) </w:t>
      </w:r>
    </w:p>
    <w:p w14:paraId="30D576F4" w14:textId="6E179EB1" w:rsidR="001B7CA2" w:rsidRDefault="001B7CA2" w:rsidP="001B7CA2">
      <w:pPr>
        <w:rPr>
          <w:i/>
          <w:iCs/>
          <w:lang w:val="en-GB"/>
        </w:rPr>
      </w:pPr>
      <w:r w:rsidRPr="001B7CA2">
        <w:rPr>
          <w:i/>
          <w:iCs/>
          <w:lang w:val="en-GB"/>
        </w:rPr>
        <w:t xml:space="preserve">13. Training of justice professionals (including judges, prosecutors, lawyers, court staff) </w:t>
      </w:r>
    </w:p>
    <w:p w14:paraId="1B2FDB6C" w14:textId="53DBA9C7" w:rsidR="00F75ED9" w:rsidRPr="00F75ED9" w:rsidRDefault="00F75ED9" w:rsidP="00F75ED9">
      <w:pPr>
        <w:jc w:val="both"/>
        <w:rPr>
          <w:bCs/>
          <w:iCs/>
          <w:lang w:val="en-GB"/>
        </w:rPr>
      </w:pPr>
      <w:r w:rsidRPr="00F75ED9">
        <w:rPr>
          <w:bCs/>
          <w:iCs/>
          <w:lang w:val="en-US"/>
        </w:rPr>
        <w:t>I</w:t>
      </w:r>
      <w:r w:rsidRPr="00F75ED9">
        <w:rPr>
          <w:bCs/>
          <w:iCs/>
          <w:lang w:val="en-AU"/>
        </w:rPr>
        <w:t xml:space="preserve">n its 2019 concluding observations, the UN Human Rights Committee </w:t>
      </w:r>
      <w:r w:rsidRPr="00F75ED9">
        <w:rPr>
          <w:iCs/>
          <w:lang w:val="en-US"/>
        </w:rPr>
        <w:t xml:space="preserve">recommended Estonia to </w:t>
      </w:r>
      <w:r w:rsidRPr="001D5D65">
        <w:rPr>
          <w:iCs/>
          <w:lang w:val="en-US"/>
        </w:rPr>
        <w:t xml:space="preserve">intensify its efforts to raise awareness about the Covenant </w:t>
      </w:r>
      <w:r>
        <w:rPr>
          <w:iCs/>
          <w:lang w:val="en-US"/>
        </w:rPr>
        <w:t xml:space="preserve">on Civil and </w:t>
      </w:r>
      <w:r w:rsidRPr="001D5D65">
        <w:rPr>
          <w:bCs/>
          <w:iCs/>
          <w:lang w:val="en-US"/>
        </w:rPr>
        <w:t>Political Rights</w:t>
      </w:r>
      <w:r>
        <w:rPr>
          <w:iCs/>
          <w:lang w:val="en-US"/>
        </w:rPr>
        <w:t xml:space="preserve"> </w:t>
      </w:r>
      <w:r w:rsidRPr="001D5D65">
        <w:rPr>
          <w:iCs/>
          <w:lang w:val="en-US"/>
        </w:rPr>
        <w:t xml:space="preserve">and its Optional Protocol, including </w:t>
      </w:r>
      <w:r w:rsidRPr="00F75ED9">
        <w:rPr>
          <w:iCs/>
          <w:lang w:val="en-US"/>
        </w:rPr>
        <w:t xml:space="preserve">by </w:t>
      </w:r>
      <w:r w:rsidRPr="001D5D65">
        <w:rPr>
          <w:iCs/>
          <w:lang w:val="en-US"/>
        </w:rPr>
        <w:t xml:space="preserve">providing specific training on the Covenant to government officials, judges, prosecutors and lawyers. </w:t>
      </w:r>
      <w:r w:rsidRPr="00F75ED9">
        <w:rPr>
          <w:iCs/>
          <w:lang w:val="en-US"/>
        </w:rPr>
        <w:t xml:space="preserve">Besides, it </w:t>
      </w:r>
      <w:r w:rsidRPr="001D5D65">
        <w:rPr>
          <w:iCs/>
          <w:lang w:val="en-US"/>
        </w:rPr>
        <w:t>welcom</w:t>
      </w:r>
      <w:r w:rsidRPr="00F75ED9">
        <w:rPr>
          <w:iCs/>
          <w:lang w:val="en-GB"/>
        </w:rPr>
        <w:t>ed</w:t>
      </w:r>
      <w:r w:rsidRPr="001D5D65">
        <w:rPr>
          <w:iCs/>
          <w:lang w:val="en-US"/>
        </w:rPr>
        <w:t xml:space="preserve"> the measures taken to combat hate speech and hate crimes</w:t>
      </w:r>
      <w:r w:rsidRPr="00F75ED9">
        <w:rPr>
          <w:iCs/>
          <w:lang w:val="en-US"/>
        </w:rPr>
        <w:t xml:space="preserve"> but </w:t>
      </w:r>
      <w:r w:rsidRPr="001D5D65">
        <w:rPr>
          <w:iCs/>
          <w:lang w:val="en-US"/>
        </w:rPr>
        <w:t>remain</w:t>
      </w:r>
      <w:r w:rsidRPr="00F75ED9">
        <w:rPr>
          <w:iCs/>
          <w:lang w:val="en-GB"/>
        </w:rPr>
        <w:t>ed</w:t>
      </w:r>
      <w:r w:rsidRPr="001D5D65">
        <w:rPr>
          <w:iCs/>
          <w:lang w:val="en-US"/>
        </w:rPr>
        <w:t xml:space="preserve"> concerned </w:t>
      </w:r>
      <w:r w:rsidRPr="00F75ED9">
        <w:rPr>
          <w:iCs/>
          <w:lang w:val="en-US"/>
        </w:rPr>
        <w:t xml:space="preserve">about </w:t>
      </w:r>
      <w:r w:rsidRPr="001D5D65">
        <w:rPr>
          <w:iCs/>
          <w:lang w:val="en-US"/>
        </w:rPr>
        <w:t>reports of hate speech, including by opinion makers and politicians, and hate crimes</w:t>
      </w:r>
      <w:r w:rsidRPr="00F75ED9">
        <w:rPr>
          <w:iCs/>
          <w:lang w:val="en-US"/>
        </w:rPr>
        <w:t xml:space="preserve">. </w:t>
      </w:r>
      <w:r w:rsidRPr="00F75ED9">
        <w:rPr>
          <w:iCs/>
          <w:lang w:val="en-GB"/>
        </w:rPr>
        <w:t xml:space="preserve">In order to ensure </w:t>
      </w:r>
      <w:r w:rsidRPr="001D5D65">
        <w:rPr>
          <w:iCs/>
          <w:lang w:val="en-US"/>
        </w:rPr>
        <w:t>effective protection against hate speech and hate crimes, both in law and in practice</w:t>
      </w:r>
      <w:r w:rsidRPr="00F75ED9">
        <w:rPr>
          <w:iCs/>
          <w:lang w:val="en-US"/>
        </w:rPr>
        <w:t>,</w:t>
      </w:r>
      <w:r w:rsidRPr="001D5D65">
        <w:rPr>
          <w:iCs/>
          <w:lang w:val="en-US"/>
        </w:rPr>
        <w:t xml:space="preserve"> </w:t>
      </w:r>
      <w:r w:rsidRPr="00F75ED9">
        <w:rPr>
          <w:iCs/>
          <w:lang w:val="en-US"/>
        </w:rPr>
        <w:t xml:space="preserve">it recommended inter alia to </w:t>
      </w:r>
      <w:r w:rsidRPr="001D5D65">
        <w:rPr>
          <w:iCs/>
          <w:lang w:val="en-US"/>
        </w:rPr>
        <w:t>ensur</w:t>
      </w:r>
      <w:r w:rsidRPr="00F75ED9">
        <w:rPr>
          <w:iCs/>
          <w:lang w:val="en-US"/>
        </w:rPr>
        <w:t>e</w:t>
      </w:r>
      <w:r w:rsidRPr="001D5D65">
        <w:rPr>
          <w:iCs/>
          <w:lang w:val="en-US"/>
        </w:rPr>
        <w:t xml:space="preserve"> continuous training on hate crimes for law enforcement officials, border guards, prosecutors and judges</w:t>
      </w:r>
      <w:r>
        <w:rPr>
          <w:iCs/>
          <w:lang w:val="en-GB"/>
        </w:rPr>
        <w:t xml:space="preserve"> (</w:t>
      </w:r>
      <w:hyperlink r:id="rId10" w:history="1">
        <w:r w:rsidRPr="00F75ED9">
          <w:rPr>
            <w:rStyle w:val="Hyperlink"/>
            <w:iCs/>
            <w:lang w:val="en-GB"/>
          </w:rPr>
          <w:t>CCPR/C/EST/CO/4</w:t>
        </w:r>
      </w:hyperlink>
      <w:r>
        <w:rPr>
          <w:iCs/>
          <w:lang w:val="en-GB"/>
        </w:rPr>
        <w:t xml:space="preserve">, </w:t>
      </w:r>
      <w:r w:rsidRPr="00F75ED9">
        <w:rPr>
          <w:iCs/>
          <w:lang w:val="en-GB"/>
        </w:rPr>
        <w:t xml:space="preserve"> para 5, 6, 12,13,14)</w:t>
      </w:r>
      <w:r>
        <w:rPr>
          <w:iCs/>
          <w:lang w:val="en-GB"/>
        </w:rPr>
        <w:t xml:space="preserve">. </w:t>
      </w:r>
    </w:p>
    <w:p w14:paraId="08414796" w14:textId="3F95C417" w:rsidR="001B7CA2" w:rsidRDefault="001B7CA2" w:rsidP="001B7CA2">
      <w:pPr>
        <w:rPr>
          <w:i/>
          <w:iCs/>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6F9086B6" w14:textId="4C2259E4" w:rsidR="00F75ED9" w:rsidRPr="00F75ED9" w:rsidRDefault="00F75ED9" w:rsidP="00F75ED9">
      <w:pPr>
        <w:jc w:val="both"/>
        <w:rPr>
          <w:iCs/>
          <w:lang w:val="en-GB"/>
        </w:rPr>
      </w:pPr>
      <w:r w:rsidRPr="00F75ED9">
        <w:rPr>
          <w:bCs/>
          <w:iCs/>
          <w:lang w:val="en-AU"/>
        </w:rPr>
        <w:t>In its 2019 concluding observations, the UN Human Rights Committee</w:t>
      </w:r>
      <w:r w:rsidRPr="00F75ED9">
        <w:rPr>
          <w:iCs/>
          <w:lang w:val="en-GB"/>
        </w:rPr>
        <w:t xml:space="preserve"> </w:t>
      </w:r>
      <w:r w:rsidRPr="001D5D65">
        <w:rPr>
          <w:iCs/>
          <w:lang w:val="en-US"/>
        </w:rPr>
        <w:t>not</w:t>
      </w:r>
      <w:r w:rsidRPr="00F75ED9">
        <w:rPr>
          <w:iCs/>
          <w:lang w:val="en-GB"/>
        </w:rPr>
        <w:t>ed</w:t>
      </w:r>
      <w:r w:rsidRPr="001D5D65">
        <w:rPr>
          <w:iCs/>
          <w:lang w:val="en-US"/>
        </w:rPr>
        <w:t xml:space="preserve"> that both the Chancellor of Justice and the Supreme Court analysed data retention legislation and found it compatible with the </w:t>
      </w:r>
      <w:r w:rsidRPr="00F75ED9">
        <w:rPr>
          <w:iCs/>
          <w:lang w:val="en-US"/>
        </w:rPr>
        <w:t xml:space="preserve">UN </w:t>
      </w:r>
      <w:r w:rsidRPr="001D5D65">
        <w:rPr>
          <w:iCs/>
          <w:lang w:val="en-US"/>
        </w:rPr>
        <w:t>Covenant</w:t>
      </w:r>
      <w:r w:rsidRPr="00F75ED9">
        <w:rPr>
          <w:iCs/>
          <w:lang w:val="en-US"/>
        </w:rPr>
        <w:t xml:space="preserve"> on Civil and Political Rights. T</w:t>
      </w:r>
      <w:r w:rsidRPr="001D5D65">
        <w:rPr>
          <w:iCs/>
          <w:lang w:val="en-US"/>
        </w:rPr>
        <w:t xml:space="preserve">he Committee </w:t>
      </w:r>
      <w:r w:rsidRPr="00F75ED9">
        <w:rPr>
          <w:iCs/>
          <w:lang w:val="en-US"/>
        </w:rPr>
        <w:t xml:space="preserve">expressed </w:t>
      </w:r>
      <w:r w:rsidRPr="001D5D65">
        <w:rPr>
          <w:iCs/>
          <w:lang w:val="en-US"/>
        </w:rPr>
        <w:t>concern that such regulations, including article 111 of the Electronic Communications Act, provide for blanket retention of communications data (metadata), and that access to such data is reportedly not limited to the investigation and prosecution of serious crimes, but is also used for investigating and prosecuting minor crimes and misdemeanours. The Committee note</w:t>
      </w:r>
      <w:r w:rsidRPr="00F75ED9">
        <w:rPr>
          <w:iCs/>
          <w:lang w:val="en-GB"/>
        </w:rPr>
        <w:t>d</w:t>
      </w:r>
      <w:r w:rsidRPr="001D5D65">
        <w:rPr>
          <w:iCs/>
          <w:lang w:val="en-US"/>
        </w:rPr>
        <w:t xml:space="preserve"> that possible amendments to the relevant regulations on data retention </w:t>
      </w:r>
      <w:r w:rsidRPr="00F75ED9">
        <w:rPr>
          <w:iCs/>
          <w:lang w:val="en-GB"/>
        </w:rPr>
        <w:t>were</w:t>
      </w:r>
      <w:r w:rsidRPr="001D5D65">
        <w:rPr>
          <w:iCs/>
          <w:lang w:val="en-US"/>
        </w:rPr>
        <w:t xml:space="preserve"> being analysed and discussed with a view to further clarifying the relevant domestic norms. The Committee </w:t>
      </w:r>
      <w:r w:rsidRPr="00F75ED9">
        <w:rPr>
          <w:iCs/>
          <w:lang w:val="en-US"/>
        </w:rPr>
        <w:t xml:space="preserve">recommended that Estonia </w:t>
      </w:r>
      <w:r w:rsidRPr="001D5D65">
        <w:rPr>
          <w:iCs/>
          <w:lang w:val="en-US"/>
        </w:rPr>
        <w:t>bring its regulations governing data retention and access thereto, into full conformity with the Covenant, including with the principles of legality, proportionality and necessity (</w:t>
      </w:r>
      <w:hyperlink r:id="rId11" w:history="1">
        <w:r w:rsidRPr="00F75ED9">
          <w:rPr>
            <w:rStyle w:val="Hyperlink"/>
            <w:iCs/>
            <w:lang w:val="en-GB"/>
          </w:rPr>
          <w:t>CCPR/C/EST/CO/4</w:t>
        </w:r>
      </w:hyperlink>
      <w:r w:rsidR="00CA3CA2">
        <w:rPr>
          <w:rStyle w:val="Hyperlink"/>
          <w:iCs/>
          <w:lang w:val="en-GB"/>
        </w:rPr>
        <w:t>,</w:t>
      </w:r>
      <w:r w:rsidR="00CA3CA2">
        <w:rPr>
          <w:iCs/>
          <w:lang w:val="en-GB"/>
        </w:rPr>
        <w:t xml:space="preserve"> para</w:t>
      </w:r>
      <w:r w:rsidRPr="00F75ED9">
        <w:rPr>
          <w:iCs/>
          <w:lang w:val="en-GB"/>
        </w:rPr>
        <w:t xml:space="preserve"> 29, 30)</w:t>
      </w:r>
      <w:r>
        <w:rPr>
          <w:iCs/>
          <w:lang w:val="en-GB"/>
        </w:rPr>
        <w:t>.</w:t>
      </w:r>
    </w:p>
    <w:p w14:paraId="4B63E9E8" w14:textId="77777777" w:rsidR="001B7CA2" w:rsidRPr="001B7CA2" w:rsidRDefault="001B7CA2" w:rsidP="001B7CA2">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53114DC2" w14:textId="5B37F0D7"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14:paraId="5CD1D694" w14:textId="77777777" w:rsidR="001B7CA2" w:rsidRPr="001B7CA2" w:rsidRDefault="001B7CA2" w:rsidP="001B7CA2">
      <w:pPr>
        <w:rPr>
          <w:lang w:val="en-GB"/>
        </w:rPr>
      </w:pPr>
      <w:r w:rsidRPr="001B7CA2">
        <w:rPr>
          <w:b/>
          <w:bCs/>
          <w:i/>
          <w:iCs/>
          <w:lang w:val="en-GB"/>
        </w:rPr>
        <w:t xml:space="preserve">C. Efficiency of the justice system </w:t>
      </w:r>
    </w:p>
    <w:p w14:paraId="22318488" w14:textId="43F2071E" w:rsidR="001B7CA2" w:rsidRDefault="001B7CA2" w:rsidP="001B7CA2">
      <w:pPr>
        <w:rPr>
          <w:i/>
          <w:iCs/>
          <w:lang w:val="en-GB"/>
        </w:rPr>
      </w:pPr>
      <w:r w:rsidRPr="001B7CA2">
        <w:rPr>
          <w:i/>
          <w:iCs/>
          <w:lang w:val="en-GB"/>
        </w:rPr>
        <w:t xml:space="preserve">17. Length of proceedings </w:t>
      </w:r>
    </w:p>
    <w:p w14:paraId="1147F5AC" w14:textId="3ACFA49E" w:rsidR="00F75ED9" w:rsidRPr="00F75ED9" w:rsidRDefault="00F75ED9" w:rsidP="00F75ED9">
      <w:pPr>
        <w:jc w:val="both"/>
        <w:rPr>
          <w:iCs/>
          <w:lang w:val="en-GB"/>
        </w:rPr>
      </w:pPr>
      <w:bookmarkStart w:id="0" w:name="_Toc6392602"/>
      <w:r w:rsidRPr="00F75ED9">
        <w:rPr>
          <w:i/>
          <w:iCs/>
          <w:lang w:val="en-US"/>
        </w:rPr>
        <w:t>Low prosecution of v</w:t>
      </w:r>
      <w:r w:rsidRPr="001D5D65">
        <w:rPr>
          <w:i/>
          <w:iCs/>
          <w:lang w:val="en-US"/>
        </w:rPr>
        <w:t>iolence against women</w:t>
      </w:r>
      <w:r w:rsidRPr="00F75ED9">
        <w:rPr>
          <w:bCs/>
          <w:iCs/>
          <w:lang w:val="en-AU"/>
        </w:rPr>
        <w:t xml:space="preserve"> – In its 2019 concluding observations, the UN Human Rights Committee </w:t>
      </w:r>
      <w:r w:rsidRPr="001D5D65">
        <w:rPr>
          <w:iCs/>
          <w:lang w:val="en-US"/>
        </w:rPr>
        <w:t>welcom</w:t>
      </w:r>
      <w:r w:rsidRPr="00F75ED9">
        <w:rPr>
          <w:iCs/>
          <w:lang w:val="en-US"/>
        </w:rPr>
        <w:t>ed</w:t>
      </w:r>
      <w:r w:rsidRPr="001D5D65">
        <w:rPr>
          <w:iCs/>
          <w:lang w:val="en-US"/>
        </w:rPr>
        <w:t xml:space="preserve"> measures taken to address violence against women, including domestic and sexual violence</w:t>
      </w:r>
      <w:r w:rsidRPr="00F75ED9">
        <w:rPr>
          <w:bCs/>
          <w:iCs/>
          <w:lang w:val="en-AU"/>
        </w:rPr>
        <w:t>, but expressed concerns</w:t>
      </w:r>
      <w:r w:rsidRPr="00F75ED9">
        <w:rPr>
          <w:b/>
          <w:bCs/>
          <w:iCs/>
          <w:lang w:val="en-AU"/>
        </w:rPr>
        <w:t xml:space="preserve"> </w:t>
      </w:r>
      <w:r w:rsidRPr="00F75ED9">
        <w:rPr>
          <w:iCs/>
          <w:lang w:val="en-US"/>
        </w:rPr>
        <w:t>about low</w:t>
      </w:r>
      <w:r w:rsidRPr="001D5D65">
        <w:rPr>
          <w:iCs/>
          <w:lang w:val="en-US"/>
        </w:rPr>
        <w:t xml:space="preserve"> prosecution rate and allegedly </w:t>
      </w:r>
      <w:r w:rsidRPr="00F75ED9">
        <w:rPr>
          <w:iCs/>
          <w:lang w:val="en-US"/>
        </w:rPr>
        <w:t xml:space="preserve">high </w:t>
      </w:r>
      <w:r w:rsidRPr="001D5D65">
        <w:rPr>
          <w:iCs/>
          <w:lang w:val="en-US"/>
        </w:rPr>
        <w:t xml:space="preserve">underreporting, partly due to safety concerns. </w:t>
      </w:r>
      <w:r w:rsidRPr="00F75ED9">
        <w:rPr>
          <w:iCs/>
          <w:lang w:val="en-US"/>
        </w:rPr>
        <w:t xml:space="preserve">It </w:t>
      </w:r>
      <w:r w:rsidRPr="00F75ED9">
        <w:rPr>
          <w:iCs/>
          <w:lang w:val="en-GB"/>
        </w:rPr>
        <w:t>found that Estonia should inter alia, ensure the timely issuance of restraining orders against perpetrators and the introduction of emergency restraining orders and ensure that cases of violence against women are thoroughly investigated, perpetrators prosecuted and, if convicted, punished with appropriate sanctions, and that victims have access to effective remedies</w:t>
      </w:r>
      <w:r>
        <w:rPr>
          <w:iCs/>
          <w:lang w:val="en-GB"/>
        </w:rPr>
        <w:t xml:space="preserve"> </w:t>
      </w:r>
      <w:r w:rsidRPr="00F75ED9">
        <w:rPr>
          <w:iCs/>
          <w:lang w:val="en-GB"/>
        </w:rPr>
        <w:t>(</w:t>
      </w:r>
      <w:hyperlink r:id="rId12" w:history="1">
        <w:r w:rsidRPr="00F75ED9">
          <w:rPr>
            <w:rStyle w:val="Hyperlink"/>
            <w:iCs/>
            <w:lang w:val="en-GB"/>
          </w:rPr>
          <w:t>CCPR/C/EST/CO/4</w:t>
        </w:r>
      </w:hyperlink>
      <w:r w:rsidR="00CA3CA2">
        <w:rPr>
          <w:rStyle w:val="Hyperlink"/>
          <w:iCs/>
          <w:lang w:val="en-GB"/>
        </w:rPr>
        <w:t>,</w:t>
      </w:r>
      <w:r w:rsidR="00CA3CA2">
        <w:rPr>
          <w:iCs/>
          <w:lang w:val="en-GB"/>
        </w:rPr>
        <w:t xml:space="preserve"> para</w:t>
      </w:r>
      <w:r w:rsidRPr="00F75ED9">
        <w:rPr>
          <w:iCs/>
          <w:lang w:val="en-GB"/>
        </w:rPr>
        <w:t xml:space="preserve"> 17, 18)</w:t>
      </w:r>
      <w:r>
        <w:rPr>
          <w:iCs/>
          <w:lang w:val="en-GB"/>
        </w:rPr>
        <w:t>.</w:t>
      </w:r>
    </w:p>
    <w:p w14:paraId="10A874F8" w14:textId="77777777" w:rsidR="00F75ED9" w:rsidRPr="001D5D65" w:rsidRDefault="00F75ED9" w:rsidP="00F75ED9">
      <w:pPr>
        <w:jc w:val="both"/>
        <w:rPr>
          <w:iCs/>
          <w:lang w:val="en-US"/>
        </w:rPr>
      </w:pPr>
    </w:p>
    <w:bookmarkEnd w:id="0"/>
    <w:p w14:paraId="626D9EC4" w14:textId="2192EFB7" w:rsidR="00F75ED9" w:rsidRPr="00F75ED9" w:rsidRDefault="00F75ED9" w:rsidP="00F75ED9">
      <w:pPr>
        <w:jc w:val="both"/>
        <w:rPr>
          <w:iCs/>
          <w:lang w:val="en-GB"/>
        </w:rPr>
      </w:pPr>
      <w:r w:rsidRPr="00F75ED9">
        <w:rPr>
          <w:i/>
          <w:iCs/>
          <w:lang w:val="en-US"/>
        </w:rPr>
        <w:t xml:space="preserve">Legal Protection for stateless persons/persons with </w:t>
      </w:r>
      <w:r w:rsidRPr="001D5D65">
        <w:rPr>
          <w:i/>
          <w:iCs/>
          <w:lang w:val="en-US"/>
        </w:rPr>
        <w:t>undetermined citizenship</w:t>
      </w:r>
      <w:r w:rsidRPr="00F75ED9">
        <w:rPr>
          <w:iCs/>
          <w:lang w:val="en-US"/>
        </w:rPr>
        <w:t xml:space="preserve"> – In its 2019 concluding observations, the </w:t>
      </w:r>
      <w:r>
        <w:rPr>
          <w:iCs/>
          <w:lang w:val="en-US"/>
        </w:rPr>
        <w:t xml:space="preserve">UN </w:t>
      </w:r>
      <w:r w:rsidRPr="001D5D65">
        <w:rPr>
          <w:iCs/>
          <w:lang w:val="en-US"/>
        </w:rPr>
        <w:t>Committee on Economic, Social and Cultural Rights</w:t>
      </w:r>
      <w:r w:rsidRPr="00F75ED9">
        <w:rPr>
          <w:iCs/>
          <w:lang w:val="en-US"/>
        </w:rPr>
        <w:t xml:space="preserve"> welcomed Estonia’s </w:t>
      </w:r>
      <w:r w:rsidRPr="001D5D65">
        <w:rPr>
          <w:iCs/>
          <w:lang w:val="en-US"/>
        </w:rPr>
        <w:t xml:space="preserve">overall achievement in reducing the number of persons with undetermined citizenship, </w:t>
      </w:r>
      <w:r w:rsidRPr="00F75ED9">
        <w:rPr>
          <w:iCs/>
          <w:lang w:val="en-US"/>
        </w:rPr>
        <w:t xml:space="preserve">but </w:t>
      </w:r>
      <w:r w:rsidRPr="001D5D65">
        <w:rPr>
          <w:iCs/>
          <w:lang w:val="en-US"/>
        </w:rPr>
        <w:t>remain</w:t>
      </w:r>
      <w:r w:rsidRPr="00F75ED9">
        <w:rPr>
          <w:iCs/>
          <w:lang w:val="en-US"/>
        </w:rPr>
        <w:t>ed</w:t>
      </w:r>
      <w:r w:rsidRPr="001D5D65">
        <w:rPr>
          <w:iCs/>
          <w:lang w:val="en-US"/>
        </w:rPr>
        <w:t xml:space="preserve"> concerned at the large number of such persons, comprising 5.5 per cent of the population as </w:t>
      </w:r>
      <w:r w:rsidRPr="00F75ED9">
        <w:rPr>
          <w:iCs/>
          <w:lang w:val="en-US"/>
        </w:rPr>
        <w:t xml:space="preserve">of </w:t>
      </w:r>
      <w:r w:rsidRPr="001D5D65">
        <w:rPr>
          <w:iCs/>
          <w:lang w:val="en-US"/>
        </w:rPr>
        <w:t>January 2019</w:t>
      </w:r>
      <w:r w:rsidRPr="00F75ED9">
        <w:rPr>
          <w:iCs/>
          <w:lang w:val="en-US"/>
        </w:rPr>
        <w:t>. It recommended that Estonia a</w:t>
      </w:r>
      <w:r w:rsidRPr="001D5D65">
        <w:rPr>
          <w:iCs/>
          <w:lang w:val="en-US"/>
        </w:rPr>
        <w:t>ccelerate the acquisition of Estonian citizenship by persons with undetermined citizenship</w:t>
      </w:r>
      <w:r w:rsidRPr="00F75ED9">
        <w:rPr>
          <w:iCs/>
          <w:lang w:val="en-US"/>
        </w:rPr>
        <w:t xml:space="preserve">, </w:t>
      </w:r>
      <w:r w:rsidRPr="001D5D65">
        <w:rPr>
          <w:iCs/>
          <w:lang w:val="en-US"/>
        </w:rPr>
        <w:t>by removing the remaining obstacles</w:t>
      </w:r>
      <w:r w:rsidRPr="00F75ED9">
        <w:rPr>
          <w:iCs/>
          <w:lang w:val="en-US"/>
        </w:rPr>
        <w:t xml:space="preserve"> (</w:t>
      </w:r>
      <w:hyperlink r:id="rId13" w:history="1">
        <w:r w:rsidRPr="001D5D65">
          <w:rPr>
            <w:rStyle w:val="Hyperlink"/>
            <w:iCs/>
            <w:lang w:val="en-US"/>
          </w:rPr>
          <w:t>E/C.12/EST/CO/3</w:t>
        </w:r>
      </w:hyperlink>
      <w:r w:rsidRPr="001D5D65">
        <w:rPr>
          <w:iCs/>
          <w:lang w:val="en-US"/>
        </w:rPr>
        <w:t>, para</w:t>
      </w:r>
      <w:r w:rsidRPr="00F75ED9">
        <w:rPr>
          <w:iCs/>
          <w:lang w:val="en-US"/>
        </w:rPr>
        <w:t xml:space="preserve"> 14, 15). While also welcoming the measures taken by Estonia, the</w:t>
      </w:r>
      <w:r w:rsidRPr="00F75ED9">
        <w:rPr>
          <w:bCs/>
          <w:iCs/>
          <w:lang w:val="en-AU"/>
        </w:rPr>
        <w:t xml:space="preserve"> UN Human Rights Committee, in its 2019 concluding observations, similarly </w:t>
      </w:r>
      <w:r w:rsidRPr="001D5D65">
        <w:rPr>
          <w:iCs/>
          <w:lang w:val="en-US"/>
        </w:rPr>
        <w:t>remain</w:t>
      </w:r>
      <w:r w:rsidRPr="00F75ED9">
        <w:rPr>
          <w:iCs/>
          <w:lang w:val="en-GB"/>
        </w:rPr>
        <w:t>ed</w:t>
      </w:r>
      <w:r w:rsidRPr="001D5D65">
        <w:rPr>
          <w:iCs/>
          <w:lang w:val="en-US"/>
        </w:rPr>
        <w:t xml:space="preserve"> concerned at</w:t>
      </w:r>
      <w:r w:rsidRPr="00F75ED9">
        <w:rPr>
          <w:iCs/>
          <w:lang w:val="en-US"/>
        </w:rPr>
        <w:t xml:space="preserve"> the remaining gaps. In particular, the Committee recommended Estonia to </w:t>
      </w:r>
      <w:r w:rsidRPr="001D5D65">
        <w:rPr>
          <w:iCs/>
          <w:lang w:val="en-US"/>
        </w:rPr>
        <w:t>ensure that stateless individuals are systematically identified and afforded protection</w:t>
      </w:r>
      <w:r w:rsidRPr="00F75ED9">
        <w:rPr>
          <w:iCs/>
          <w:lang w:val="en-US"/>
        </w:rPr>
        <w:t>, to f</w:t>
      </w:r>
      <w:r w:rsidRPr="001D5D65">
        <w:rPr>
          <w:iCs/>
          <w:lang w:val="en-US"/>
        </w:rPr>
        <w:t>acilitat</w:t>
      </w:r>
      <w:r w:rsidRPr="00F75ED9">
        <w:rPr>
          <w:iCs/>
          <w:lang w:val="en-US"/>
        </w:rPr>
        <w:t>e</w:t>
      </w:r>
      <w:r w:rsidRPr="001D5D65">
        <w:rPr>
          <w:iCs/>
          <w:lang w:val="en-US"/>
        </w:rPr>
        <w:t xml:space="preserve"> the naturalization of persons with “undetermined citizenship” and remov</w:t>
      </w:r>
      <w:r w:rsidRPr="00F75ED9">
        <w:rPr>
          <w:iCs/>
          <w:lang w:val="en-US"/>
        </w:rPr>
        <w:t>e</w:t>
      </w:r>
      <w:r w:rsidRPr="001D5D65">
        <w:rPr>
          <w:iCs/>
          <w:lang w:val="en-US"/>
        </w:rPr>
        <w:t xml:space="preserve"> excessive barriers that hinder the process</w:t>
      </w:r>
      <w:r w:rsidRPr="00F75ED9">
        <w:rPr>
          <w:iCs/>
          <w:lang w:val="en-US"/>
        </w:rPr>
        <w:t>, and to e</w:t>
      </w:r>
      <w:r w:rsidRPr="001D5D65">
        <w:rPr>
          <w:iCs/>
          <w:lang w:val="en-US"/>
        </w:rPr>
        <w:t>nsur</w:t>
      </w:r>
      <w:r w:rsidRPr="00F75ED9">
        <w:rPr>
          <w:iCs/>
          <w:lang w:val="en-US"/>
        </w:rPr>
        <w:t>e</w:t>
      </w:r>
      <w:r w:rsidRPr="001D5D65">
        <w:rPr>
          <w:iCs/>
          <w:lang w:val="en-US"/>
        </w:rPr>
        <w:t xml:space="preserve"> that every child </w:t>
      </w:r>
      <w:r w:rsidRPr="00F75ED9">
        <w:rPr>
          <w:iCs/>
          <w:lang w:val="en-US"/>
        </w:rPr>
        <w:t xml:space="preserve">be granted citizenship, regardless of their age or the legal status of their parents if also stateless </w:t>
      </w:r>
      <w:r w:rsidRPr="00F75ED9">
        <w:rPr>
          <w:iCs/>
          <w:lang w:val="en-GB"/>
        </w:rPr>
        <w:t>(</w:t>
      </w:r>
      <w:hyperlink r:id="rId14" w:history="1">
        <w:r w:rsidRPr="00F75ED9">
          <w:rPr>
            <w:rStyle w:val="Hyperlink"/>
            <w:iCs/>
            <w:lang w:val="en-GB"/>
          </w:rPr>
          <w:t>CCPR/C/EST/CO/4</w:t>
        </w:r>
      </w:hyperlink>
      <w:r w:rsidRPr="00F75ED9">
        <w:rPr>
          <w:iCs/>
          <w:lang w:val="en-GB"/>
        </w:rPr>
        <w:t xml:space="preserve"> para, 35, 36). </w:t>
      </w:r>
    </w:p>
    <w:p w14:paraId="3707D4FA" w14:textId="2AD1E76D" w:rsidR="00F75ED9" w:rsidRPr="00F75ED9" w:rsidRDefault="00F75ED9" w:rsidP="00F75ED9">
      <w:pPr>
        <w:jc w:val="both"/>
        <w:rPr>
          <w:iCs/>
          <w:lang w:val="en-GB"/>
        </w:rPr>
      </w:pPr>
      <w:r w:rsidRPr="00F75ED9">
        <w:rPr>
          <w:i/>
          <w:iCs/>
          <w:lang w:val="en-US"/>
        </w:rPr>
        <w:t xml:space="preserve">Justiciability of the rights under </w:t>
      </w:r>
      <w:r w:rsidRPr="00F75ED9">
        <w:rPr>
          <w:i/>
          <w:iCs/>
          <w:lang w:val="en-GB"/>
        </w:rPr>
        <w:t xml:space="preserve">the </w:t>
      </w:r>
      <w:r>
        <w:rPr>
          <w:i/>
          <w:iCs/>
          <w:lang w:val="en-GB"/>
        </w:rPr>
        <w:t xml:space="preserve">UN </w:t>
      </w:r>
      <w:r w:rsidRPr="00F75ED9">
        <w:rPr>
          <w:i/>
          <w:iCs/>
          <w:lang w:val="en-GB"/>
        </w:rPr>
        <w:t xml:space="preserve">Covenant on </w:t>
      </w:r>
      <w:r w:rsidRPr="001D5D65">
        <w:rPr>
          <w:i/>
          <w:iCs/>
          <w:lang w:val="en-US"/>
        </w:rPr>
        <w:t>Economic, Social and Cultural Rights</w:t>
      </w:r>
      <w:r w:rsidRPr="00F75ED9">
        <w:rPr>
          <w:iCs/>
          <w:lang w:val="en-GB"/>
        </w:rPr>
        <w:t xml:space="preserve"> – In its 2019 concluding observations, the </w:t>
      </w:r>
      <w:r w:rsidRPr="00F75ED9">
        <w:rPr>
          <w:iCs/>
          <w:lang w:val="en-US"/>
        </w:rPr>
        <w:t xml:space="preserve">UN </w:t>
      </w:r>
      <w:r w:rsidRPr="001D5D65">
        <w:rPr>
          <w:iCs/>
          <w:lang w:val="en-US"/>
        </w:rPr>
        <w:t xml:space="preserve">Committee </w:t>
      </w:r>
      <w:r>
        <w:rPr>
          <w:iCs/>
          <w:lang w:val="en-US"/>
        </w:rPr>
        <w:t xml:space="preserve">on </w:t>
      </w:r>
      <w:r w:rsidRPr="001D5D65">
        <w:rPr>
          <w:iCs/>
          <w:lang w:val="en-US"/>
        </w:rPr>
        <w:t>on Economic, Social and Cultural Rights</w:t>
      </w:r>
      <w:r w:rsidRPr="00F75ED9">
        <w:rPr>
          <w:iCs/>
          <w:lang w:val="en-US"/>
        </w:rPr>
        <w:t xml:space="preserve"> </w:t>
      </w:r>
      <w:r w:rsidRPr="00F75ED9">
        <w:rPr>
          <w:iCs/>
          <w:lang w:val="en-GB"/>
        </w:rPr>
        <w:t xml:space="preserve">noted that </w:t>
      </w:r>
      <w:r w:rsidRPr="001D5D65">
        <w:rPr>
          <w:iCs/>
          <w:lang w:val="en-US"/>
        </w:rPr>
        <w:t xml:space="preserve">some Covenant rights are protected in the Constitution, and that article 123 of the Constitution establishes the primacy of international treaties over domestic law. However, the Committee </w:t>
      </w:r>
      <w:r w:rsidRPr="00F75ED9">
        <w:rPr>
          <w:iCs/>
          <w:lang w:val="en-GB"/>
        </w:rPr>
        <w:t>was</w:t>
      </w:r>
      <w:r w:rsidRPr="001D5D65">
        <w:rPr>
          <w:iCs/>
          <w:lang w:val="en-US"/>
        </w:rPr>
        <w:t xml:space="preserve"> concerned at the lack of information on judicial remedies and of examples of cases where Covenant rights are protected by domestic courts.</w:t>
      </w:r>
      <w:r w:rsidR="001D5D65">
        <w:rPr>
          <w:iCs/>
          <w:lang w:val="en-US"/>
        </w:rPr>
        <w:t xml:space="preserve"> </w:t>
      </w:r>
      <w:r w:rsidRPr="001D5D65">
        <w:rPr>
          <w:iCs/>
          <w:lang w:val="en-US"/>
        </w:rPr>
        <w:t>The Committee recommend</w:t>
      </w:r>
      <w:r w:rsidRPr="00F75ED9">
        <w:rPr>
          <w:iCs/>
          <w:lang w:val="en-GB"/>
        </w:rPr>
        <w:t>ed</w:t>
      </w:r>
      <w:r w:rsidRPr="001D5D65">
        <w:rPr>
          <w:iCs/>
          <w:lang w:val="en-US"/>
        </w:rPr>
        <w:t xml:space="preserve"> </w:t>
      </w:r>
      <w:r w:rsidRPr="00F75ED9">
        <w:rPr>
          <w:iCs/>
          <w:lang w:val="en-US"/>
        </w:rPr>
        <w:t>that Estonia i</w:t>
      </w:r>
      <w:r w:rsidRPr="001D5D65">
        <w:rPr>
          <w:iCs/>
          <w:lang w:val="en-US"/>
        </w:rPr>
        <w:t xml:space="preserve">ncorporate all the rights enshrined in the Covenant in the domestic legal order; </w:t>
      </w:r>
      <w:r w:rsidRPr="00F75ED9">
        <w:rPr>
          <w:iCs/>
          <w:lang w:val="en-US"/>
        </w:rPr>
        <w:t>s</w:t>
      </w:r>
      <w:r w:rsidRPr="001D5D65">
        <w:rPr>
          <w:iCs/>
          <w:lang w:val="en-US"/>
        </w:rPr>
        <w:t xml:space="preserve">trengthen judicial remedies for the protection of Covenant rights in its domestic legal order; </w:t>
      </w:r>
      <w:r w:rsidRPr="00F75ED9">
        <w:rPr>
          <w:iCs/>
          <w:lang w:val="en-US"/>
        </w:rPr>
        <w:t>e</w:t>
      </w:r>
      <w:r w:rsidRPr="001D5D65">
        <w:rPr>
          <w:iCs/>
          <w:lang w:val="en-US"/>
        </w:rPr>
        <w:t xml:space="preserve">nhance training for judges and lawyers on the Covenant; </w:t>
      </w:r>
      <w:r w:rsidRPr="00F75ED9">
        <w:rPr>
          <w:iCs/>
          <w:lang w:val="en-US"/>
        </w:rPr>
        <w:t>and r</w:t>
      </w:r>
      <w:r w:rsidRPr="001D5D65">
        <w:rPr>
          <w:iCs/>
          <w:lang w:val="en-US"/>
        </w:rPr>
        <w:t>aise the awareness of the public on the Covenant and the justiciability of economic, social and cultural rights. In this context, the Committee dr</w:t>
      </w:r>
      <w:r w:rsidRPr="00F75ED9">
        <w:rPr>
          <w:iCs/>
          <w:lang w:val="en-US"/>
        </w:rPr>
        <w:t>ew</w:t>
      </w:r>
      <w:r w:rsidRPr="001D5D65">
        <w:rPr>
          <w:iCs/>
          <w:lang w:val="en-US"/>
        </w:rPr>
        <w:t xml:space="preserve"> </w:t>
      </w:r>
      <w:r w:rsidRPr="00F75ED9">
        <w:rPr>
          <w:iCs/>
          <w:lang w:val="en-US"/>
        </w:rPr>
        <w:t xml:space="preserve">Estonia’s </w:t>
      </w:r>
      <w:r w:rsidRPr="001D5D65">
        <w:rPr>
          <w:iCs/>
          <w:lang w:val="en-US"/>
        </w:rPr>
        <w:t>attention to its general comment No. 9 (1998) on the domestic application of the Covenant</w:t>
      </w:r>
      <w:r w:rsidRPr="00F75ED9">
        <w:rPr>
          <w:iCs/>
          <w:lang w:val="en-US"/>
        </w:rPr>
        <w:t>(</w:t>
      </w:r>
      <w:r>
        <w:rPr>
          <w:iCs/>
          <w:lang w:val="en-US"/>
        </w:rPr>
        <w:t xml:space="preserve"> </w:t>
      </w:r>
      <w:hyperlink r:id="rId15" w:history="1">
        <w:r w:rsidRPr="00F75ED9">
          <w:rPr>
            <w:rStyle w:val="Hyperlink"/>
            <w:iCs/>
            <w:lang w:val="en-GB"/>
          </w:rPr>
          <w:t>CCPR/C/EST/CO/4</w:t>
        </w:r>
      </w:hyperlink>
      <w:r w:rsidRPr="001D5D65">
        <w:rPr>
          <w:iCs/>
          <w:lang w:val="en-US"/>
        </w:rPr>
        <w:t xml:space="preserve">, </w:t>
      </w:r>
      <w:r w:rsidR="00CA3CA2">
        <w:rPr>
          <w:iCs/>
          <w:lang w:val="en-US"/>
        </w:rPr>
        <w:t>para</w:t>
      </w:r>
      <w:r w:rsidRPr="00F75ED9">
        <w:rPr>
          <w:iCs/>
          <w:lang w:val="en-US"/>
        </w:rPr>
        <w:t xml:space="preserve"> 4,5).</w:t>
      </w:r>
    </w:p>
    <w:p w14:paraId="60B62A00" w14:textId="77777777" w:rsidR="001B7CA2" w:rsidRPr="001B7CA2" w:rsidRDefault="001B7CA2" w:rsidP="001B7CA2">
      <w:pPr>
        <w:rPr>
          <w:b/>
          <w:bCs/>
          <w:i/>
          <w:iCs/>
          <w:lang w:val="en-GB"/>
        </w:rPr>
      </w:pPr>
      <w:r w:rsidRPr="001B7CA2">
        <w:rPr>
          <w:b/>
          <w:bCs/>
          <w:i/>
          <w:iCs/>
          <w:lang w:val="en-GB"/>
        </w:rPr>
        <w:t xml:space="preserve">Other – please specify </w:t>
      </w:r>
    </w:p>
    <w:p w14:paraId="79AD8ACC" w14:textId="0B6AEAAE"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14:paraId="0FB0B354" w14:textId="77777777" w:rsidR="001B7CA2" w:rsidRPr="001B7CA2" w:rsidRDefault="001B7CA2" w:rsidP="001B7CA2">
      <w:pPr>
        <w:rPr>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1B7CA2" w:rsidRDefault="001B7CA2" w:rsidP="001B7CA2">
      <w:pPr>
        <w:rPr>
          <w:lang w:val="en-GB"/>
        </w:rPr>
      </w:pPr>
      <w:r w:rsidRPr="001B7CA2">
        <w:rPr>
          <w:b/>
          <w:bCs/>
          <w:i/>
          <w:iCs/>
          <w:lang w:val="en-GB"/>
        </w:rPr>
        <w:t xml:space="preserve">B. Prevention </w:t>
      </w:r>
    </w:p>
    <w:p w14:paraId="0A8E6A3F" w14:textId="77777777" w:rsidR="001B7CA2" w:rsidRPr="001B7CA2" w:rsidRDefault="001B7CA2" w:rsidP="001B7CA2">
      <w:pPr>
        <w:rPr>
          <w:lang w:val="en-GB"/>
        </w:rPr>
      </w:pPr>
      <w:r w:rsidRPr="001B7CA2">
        <w:rPr>
          <w:i/>
          <w:iCs/>
          <w:lang w:val="en-GB"/>
        </w:rPr>
        <w:t xml:space="preserve">19. Integrity framework including incompatibility rules (e.g.: revolving doors) </w:t>
      </w:r>
    </w:p>
    <w:p w14:paraId="148EA6BD" w14:textId="77777777" w:rsidR="001B7CA2" w:rsidRPr="001B7CA2" w:rsidRDefault="001B7CA2" w:rsidP="001B7CA2">
      <w:pPr>
        <w:rPr>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1B7CA2" w:rsidRDefault="001B7CA2" w:rsidP="001B7CA2">
      <w:pPr>
        <w:rPr>
          <w:lang w:val="en-GB"/>
        </w:rPr>
      </w:pPr>
      <w:r w:rsidRPr="001B7CA2">
        <w:rPr>
          <w:i/>
          <w:iCs/>
          <w:lang w:val="en-GB"/>
        </w:rPr>
        <w:t xml:space="preserve">21. Rules on preventing conflict of interests in the public sector </w:t>
      </w:r>
    </w:p>
    <w:p w14:paraId="626AE658" w14:textId="77777777" w:rsidR="001B7CA2" w:rsidRPr="001B7CA2" w:rsidRDefault="001B7CA2" w:rsidP="001B7CA2">
      <w:pPr>
        <w:rPr>
          <w:lang w:val="en-GB"/>
        </w:rPr>
      </w:pPr>
      <w:r w:rsidRPr="001B7CA2">
        <w:rPr>
          <w:i/>
          <w:iCs/>
          <w:lang w:val="en-GB"/>
        </w:rPr>
        <w:t xml:space="preserve">22. Measures in place to ensure whistleblower protection and encourage reporting of corruption </w:t>
      </w:r>
    </w:p>
    <w:p w14:paraId="3A13B46E" w14:textId="77777777" w:rsidR="001B7CA2" w:rsidRPr="001B7CA2" w:rsidRDefault="001B7CA2" w:rsidP="001B7CA2">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1B7CA2" w:rsidRDefault="001B7CA2" w:rsidP="001B7CA2">
      <w:pPr>
        <w:rPr>
          <w:lang w:val="en-GB"/>
        </w:rPr>
      </w:pPr>
      <w:r w:rsidRPr="001B7CA2">
        <w:rPr>
          <w:i/>
          <w:iCs/>
          <w:lang w:val="en-GB"/>
        </w:rPr>
        <w:t xml:space="preserve">24. Measures taken to address corruption risks in the context of the COVID-19 pandemic. </w:t>
      </w:r>
    </w:p>
    <w:p w14:paraId="41CD93A2" w14:textId="77777777" w:rsidR="001B7CA2" w:rsidRPr="001B7CA2" w:rsidRDefault="001B7CA2" w:rsidP="001B7CA2">
      <w:pPr>
        <w:rPr>
          <w:lang w:val="en-GB"/>
        </w:rPr>
      </w:pPr>
      <w:r w:rsidRPr="001B7CA2">
        <w:rPr>
          <w:i/>
          <w:iCs/>
          <w:lang w:val="en-GB"/>
        </w:rPr>
        <w:t xml:space="preserve">25. Any other relevant measures to prevent corruption in public and private sector </w:t>
      </w:r>
    </w:p>
    <w:p w14:paraId="06A5981B" w14:textId="77777777" w:rsidR="001B7CA2" w:rsidRPr="001B7CA2" w:rsidRDefault="001B7CA2" w:rsidP="001B7CA2">
      <w:pPr>
        <w:rPr>
          <w:lang w:val="en-GB"/>
        </w:rPr>
      </w:pPr>
      <w:r w:rsidRPr="001B7CA2">
        <w:rPr>
          <w:b/>
          <w:bCs/>
          <w:i/>
          <w:iCs/>
          <w:lang w:val="en-GB"/>
        </w:rPr>
        <w:t xml:space="preserve">C. Repressive measures </w:t>
      </w:r>
    </w:p>
    <w:p w14:paraId="19C8E6A7" w14:textId="77777777" w:rsidR="001B7CA2" w:rsidRPr="001B7CA2" w:rsidRDefault="001B7CA2" w:rsidP="001B7CA2">
      <w:pPr>
        <w:rPr>
          <w:lang w:val="en-GB"/>
        </w:rPr>
      </w:pPr>
      <w:r w:rsidRPr="001B7CA2">
        <w:rPr>
          <w:i/>
          <w:iCs/>
          <w:lang w:val="en-GB"/>
        </w:rPr>
        <w:t xml:space="preserve">26. Criminalisation of corruption and related offences </w:t>
      </w:r>
    </w:p>
    <w:p w14:paraId="4B4559E7" w14:textId="77777777" w:rsidR="001B7CA2" w:rsidRPr="001B7CA2" w:rsidRDefault="001B7CA2" w:rsidP="001B7CA2">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77777777" w:rsidR="001B7CA2" w:rsidRPr="001B7CA2" w:rsidRDefault="001B7CA2" w:rsidP="001B7CA2">
      <w:pPr>
        <w:rPr>
          <w:lang w:val="en-GB"/>
        </w:rPr>
      </w:pPr>
      <w:r w:rsidRPr="001B7CA2">
        <w:rPr>
          <w:i/>
          <w:iCs/>
          <w:lang w:val="en-GB"/>
        </w:rPr>
        <w:t xml:space="preserve">28. Potential obstacles to investigation and prosecution of high-level and complex corruption cases (e.g. political immunity regulation) </w:t>
      </w:r>
    </w:p>
    <w:p w14:paraId="39488B03" w14:textId="77777777" w:rsidR="001B7CA2" w:rsidRPr="001B7CA2" w:rsidRDefault="001B7CA2" w:rsidP="001B7CA2">
      <w:pPr>
        <w:rPr>
          <w:lang w:val="en-GB"/>
        </w:rPr>
      </w:pPr>
      <w:r w:rsidRPr="001B7CA2">
        <w:rPr>
          <w:b/>
          <w:bCs/>
          <w:i/>
          <w:iCs/>
          <w:lang w:val="en-GB"/>
        </w:rPr>
        <w:t xml:space="preserve">Other – please specify </w:t>
      </w:r>
    </w:p>
    <w:p w14:paraId="2F09CC61" w14:textId="77777777" w:rsidR="001B7CA2" w:rsidRPr="001B7CA2" w:rsidRDefault="001B7CA2" w:rsidP="001B7CA2">
      <w:pPr>
        <w:rPr>
          <w:lang w:val="en-GB"/>
        </w:rPr>
      </w:pPr>
      <w:r w:rsidRPr="001B7CA2">
        <w:rPr>
          <w:b/>
          <w:bCs/>
          <w:lang w:val="en-GB"/>
        </w:rPr>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624CDC15" w14:textId="77777777" w:rsidR="001B7CA2" w:rsidRPr="001B7CA2" w:rsidRDefault="001B7CA2" w:rsidP="001B7CA2">
      <w:pPr>
        <w:rPr>
          <w:lang w:val="en-GB"/>
        </w:rPr>
      </w:pPr>
      <w:r w:rsidRPr="001B7CA2">
        <w:rPr>
          <w:i/>
          <w:iCs/>
          <w:lang w:val="en-GB"/>
        </w:rPr>
        <w:t xml:space="preserve">29. Independence, enforcement powers and adequacy of resources of media regulatory authorities and bodies </w:t>
      </w:r>
    </w:p>
    <w:p w14:paraId="39A40877" w14:textId="77777777" w:rsidR="001B7CA2" w:rsidRPr="001B7CA2" w:rsidRDefault="001B7CA2" w:rsidP="001B7CA2">
      <w:pPr>
        <w:rPr>
          <w:lang w:val="en-GB"/>
        </w:rPr>
      </w:pPr>
      <w:r w:rsidRPr="001B7CA2">
        <w:rPr>
          <w:i/>
          <w:iCs/>
          <w:lang w:val="en-GB"/>
        </w:rPr>
        <w:t xml:space="preserve">30. Conditions and procedures for the appointment and dismissal of the head / members of the collegiate body of media regulatory authorities and bodies </w:t>
      </w:r>
    </w:p>
    <w:p w14:paraId="64E59A37" w14:textId="77777777" w:rsidR="001B7CA2" w:rsidRPr="001B7CA2" w:rsidRDefault="001B7CA2" w:rsidP="001B7CA2">
      <w:pPr>
        <w:rPr>
          <w:lang w:val="en-GB"/>
        </w:rPr>
      </w:pPr>
      <w:r w:rsidRPr="001B7CA2">
        <w:rPr>
          <w:i/>
          <w:iCs/>
          <w:lang w:val="en-GB"/>
        </w:rPr>
        <w:t xml:space="preserve">31. Existence and functions of media councils or other self-regulatory bodies </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77777777"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14:paraId="130A6779" w14:textId="77777777" w:rsidR="001B7CA2" w:rsidRPr="001B7CA2" w:rsidRDefault="001B7CA2" w:rsidP="001B7CA2">
      <w:pPr>
        <w:rPr>
          <w:lang w:val="en-GB"/>
        </w:rPr>
      </w:pPr>
      <w:r w:rsidRPr="001B7CA2">
        <w:rPr>
          <w:i/>
          <w:iCs/>
          <w:lang w:val="en-GB"/>
        </w:rPr>
        <w:t xml:space="preserve">33. Rules governing transparency of media ownership and public availability of media ownership information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77777777" w:rsidR="001B7CA2" w:rsidRPr="001B7CA2" w:rsidRDefault="001B7CA2" w:rsidP="001B7CA2">
      <w:pPr>
        <w:rPr>
          <w:lang w:val="en-GB"/>
        </w:rPr>
      </w:pPr>
      <w:r w:rsidRPr="001B7CA2">
        <w:rPr>
          <w:i/>
          <w:iCs/>
          <w:lang w:val="en-GB"/>
        </w:rPr>
        <w:t xml:space="preserve">34. Rules and practices guaranteeing journalist's independence and safety </w:t>
      </w:r>
    </w:p>
    <w:p w14:paraId="16BEEF7E" w14:textId="77777777" w:rsidR="001B7CA2" w:rsidRPr="001B7CA2" w:rsidRDefault="001B7CA2" w:rsidP="001B7CA2">
      <w:pPr>
        <w:rPr>
          <w:lang w:val="en-GB"/>
        </w:rPr>
      </w:pPr>
      <w:r w:rsidRPr="001B7CA2">
        <w:rPr>
          <w:i/>
          <w:iCs/>
          <w:lang w:val="en-GB"/>
        </w:rPr>
        <w:t xml:space="preserve">35. Law enforcement capacity to ensure journalists' safety and to investigate attacks on journalists </w:t>
      </w:r>
    </w:p>
    <w:p w14:paraId="35F67EA8" w14:textId="77777777" w:rsidR="001B7CA2" w:rsidRPr="001B7CA2" w:rsidRDefault="001B7CA2" w:rsidP="001B7CA2">
      <w:pPr>
        <w:rPr>
          <w:lang w:val="en-GB"/>
        </w:rPr>
      </w:pPr>
      <w:r w:rsidRPr="001B7CA2">
        <w:rPr>
          <w:i/>
          <w:iCs/>
          <w:lang w:val="en-GB"/>
        </w:rPr>
        <w:t xml:space="preserve">36. Access to information and public documents </w:t>
      </w:r>
    </w:p>
    <w:p w14:paraId="4C65C142" w14:textId="77777777" w:rsidR="001B7CA2" w:rsidRPr="001B7CA2" w:rsidRDefault="001B7CA2" w:rsidP="001B7CA2">
      <w:pPr>
        <w:rPr>
          <w:lang w:val="en-GB"/>
        </w:rPr>
      </w:pPr>
      <w:r w:rsidRPr="001B7CA2">
        <w:rPr>
          <w:i/>
          <w:iCs/>
          <w:lang w:val="en-GB"/>
        </w:rPr>
        <w:t xml:space="preserve">37. Lawsuits and convictions against journalists (incl. defamation cases) and safeguards against abuse </w:t>
      </w:r>
    </w:p>
    <w:p w14:paraId="76B3CCBA" w14:textId="77777777" w:rsidR="001B7CA2" w:rsidRPr="001B7CA2" w:rsidRDefault="001B7CA2" w:rsidP="001B7CA2">
      <w:pPr>
        <w:rPr>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64E1A34D" w14:textId="77777777" w:rsidR="001B7CA2" w:rsidRPr="001B7CA2" w:rsidRDefault="001B7CA2" w:rsidP="001B7CA2">
      <w:pPr>
        <w:rPr>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14:paraId="6A0127E4" w14:textId="77777777"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1B7CA2" w:rsidRDefault="001B7CA2" w:rsidP="001B7CA2">
      <w:pPr>
        <w:rPr>
          <w:lang w:val="en-GB"/>
        </w:rPr>
      </w:pPr>
      <w:r w:rsidRPr="001B7CA2">
        <w:rPr>
          <w:i/>
          <w:iCs/>
          <w:lang w:val="en-GB"/>
        </w:rPr>
        <w:t xml:space="preserve">40. Regime for constitutional review of laws </w:t>
      </w:r>
    </w:p>
    <w:p w14:paraId="52CD9F57" w14:textId="77777777" w:rsidR="001B7CA2" w:rsidRPr="001B7CA2" w:rsidRDefault="001B7CA2" w:rsidP="001B7CA2">
      <w:pPr>
        <w:rPr>
          <w:lang w:val="en-GB"/>
        </w:rPr>
      </w:pPr>
      <w:r w:rsidRPr="001B7CA2">
        <w:rPr>
          <w:i/>
          <w:iCs/>
          <w:lang w:val="en-GB"/>
        </w:rPr>
        <w:t xml:space="preserve">41. COVID-19: provide update on significant developments with regard to emergency regimes in the context of the COVID-19 pandemic </w:t>
      </w:r>
    </w:p>
    <w:p w14:paraId="3566BDE6" w14:textId="77777777"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418FEC9B"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4974DE29" w14:textId="77777777" w:rsidR="001B7CA2" w:rsidRPr="001B7CA2" w:rsidRDefault="001B7CA2" w:rsidP="001B7CA2">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4E72B06" w14:textId="1B61FEC0" w:rsidR="00FF13D0" w:rsidRDefault="001B7CA2" w:rsidP="00F75ED9">
      <w:pPr>
        <w:jc w:val="both"/>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46E27F39" w14:textId="7A0A1490" w:rsidR="00F75ED9" w:rsidRPr="00F75ED9" w:rsidRDefault="00F75ED9" w:rsidP="00F75ED9">
      <w:pPr>
        <w:jc w:val="both"/>
        <w:rPr>
          <w:bCs/>
          <w:iCs/>
          <w:lang w:val="en-AU"/>
        </w:rPr>
      </w:pPr>
      <w:bookmarkStart w:id="1" w:name="_GoBack"/>
      <w:r w:rsidRPr="00F75ED9">
        <w:rPr>
          <w:bCs/>
          <w:iCs/>
          <w:lang w:val="en-AU"/>
        </w:rPr>
        <w:t xml:space="preserve">In December 2020, GANHRI Sub-Committee on Accreditation recommended that the Chancellor of Justice be accredited as an A-status national human rights institution. With the view to </w:t>
      </w:r>
      <w:r w:rsidR="00B86FD7">
        <w:rPr>
          <w:bCs/>
          <w:iCs/>
          <w:lang w:val="en-AU"/>
        </w:rPr>
        <w:t xml:space="preserve">further </w:t>
      </w:r>
      <w:r w:rsidRPr="00F75ED9">
        <w:rPr>
          <w:bCs/>
          <w:iCs/>
          <w:lang w:val="en-AU"/>
        </w:rPr>
        <w:t xml:space="preserve">strengthening the institution, the SCA recommended the </w:t>
      </w:r>
      <w:r w:rsidR="00B86FD7">
        <w:rPr>
          <w:bCs/>
          <w:iCs/>
          <w:lang w:val="en-AU"/>
        </w:rPr>
        <w:t>NHRI</w:t>
      </w:r>
      <w:r w:rsidRPr="00F75ED9">
        <w:rPr>
          <w:bCs/>
          <w:iCs/>
          <w:lang w:val="en-AU"/>
        </w:rPr>
        <w:t xml:space="preserve"> to advocate for a broader and more transparent selection and appointment process; and for amen</w:t>
      </w:r>
      <w:r w:rsidR="00B86FD7">
        <w:rPr>
          <w:bCs/>
          <w:iCs/>
          <w:lang w:val="en-AU"/>
        </w:rPr>
        <w:t>dments to its enabling law to</w:t>
      </w:r>
      <w:r w:rsidRPr="00F75ED9">
        <w:rPr>
          <w:bCs/>
          <w:iCs/>
          <w:lang w:val="en-AU"/>
        </w:rPr>
        <w:t xml:space="preserve"> prevent the possibility of un</w:t>
      </w:r>
      <w:r w:rsidR="00B86FD7">
        <w:rPr>
          <w:bCs/>
          <w:iCs/>
          <w:lang w:val="en-AU"/>
        </w:rPr>
        <w:t>limited tenure of office and</w:t>
      </w:r>
      <w:r w:rsidRPr="00F75ED9">
        <w:rPr>
          <w:bCs/>
          <w:iCs/>
          <w:lang w:val="en-AU"/>
        </w:rPr>
        <w:t xml:space="preserve"> </w:t>
      </w:r>
      <w:r w:rsidR="00B86FD7">
        <w:rPr>
          <w:bCs/>
          <w:iCs/>
          <w:lang w:val="en-AU"/>
        </w:rPr>
        <w:t xml:space="preserve">to </w:t>
      </w:r>
      <w:r w:rsidRPr="00F75ED9">
        <w:rPr>
          <w:bCs/>
          <w:iCs/>
          <w:lang w:val="en-AU"/>
        </w:rPr>
        <w:t>make encouraging ratification of and accession to regional and international human rights instruments an explicit part of its mandate</w:t>
      </w:r>
      <w:r w:rsidR="00B86FD7">
        <w:rPr>
          <w:bCs/>
          <w:iCs/>
          <w:lang w:val="en-AU"/>
        </w:rPr>
        <w:t xml:space="preserve"> (see</w:t>
      </w:r>
      <w:r w:rsidR="002A2484">
        <w:rPr>
          <w:bCs/>
          <w:iCs/>
          <w:lang w:val="en-AU"/>
        </w:rPr>
        <w:t xml:space="preserve"> </w:t>
      </w:r>
      <w:hyperlink r:id="rId16" w:history="1">
        <w:r w:rsidRPr="00F75ED9">
          <w:rPr>
            <w:rStyle w:val="Hyperlink"/>
            <w:bCs/>
            <w:iCs/>
            <w:lang w:val="en-AU"/>
          </w:rPr>
          <w:t>GANHRI Sub-Committee on Accreditation Report –December 2020</w:t>
        </w:r>
      </w:hyperlink>
      <w:r w:rsidR="00B86FD7">
        <w:rPr>
          <w:rStyle w:val="Hyperlink"/>
          <w:bCs/>
          <w:iCs/>
          <w:lang w:val="en-AU"/>
        </w:rPr>
        <w:t>)</w:t>
      </w:r>
      <w:r w:rsidRPr="00F75ED9">
        <w:rPr>
          <w:bCs/>
          <w:iCs/>
          <w:lang w:val="en-AU"/>
        </w:rPr>
        <w:t xml:space="preserve">. </w:t>
      </w:r>
    </w:p>
    <w:p w14:paraId="420C985D" w14:textId="67D558E7" w:rsidR="00F75ED9" w:rsidRPr="001D5D65" w:rsidRDefault="00F75ED9" w:rsidP="00F75ED9">
      <w:pPr>
        <w:jc w:val="both"/>
        <w:rPr>
          <w:iCs/>
          <w:lang w:val="en-US"/>
        </w:rPr>
      </w:pPr>
      <w:r w:rsidRPr="00F75ED9">
        <w:rPr>
          <w:iCs/>
          <w:lang w:val="en-GB"/>
        </w:rPr>
        <w:t xml:space="preserve">In its 2019 concluding observations, the </w:t>
      </w:r>
      <w:r w:rsidR="001D5D65">
        <w:rPr>
          <w:iCs/>
          <w:lang w:val="en-GB"/>
        </w:rPr>
        <w:t xml:space="preserve">UN </w:t>
      </w:r>
      <w:r w:rsidR="00B86FD7">
        <w:rPr>
          <w:iCs/>
          <w:lang w:val="en-GB"/>
        </w:rPr>
        <w:t xml:space="preserve">CESCR </w:t>
      </w:r>
      <w:r w:rsidR="001D5D65">
        <w:rPr>
          <w:iCs/>
          <w:lang w:val="en-GB"/>
        </w:rPr>
        <w:t>Committee</w:t>
      </w:r>
      <w:r w:rsidR="00B86FD7">
        <w:rPr>
          <w:iCs/>
          <w:lang w:val="en-GB"/>
        </w:rPr>
        <w:t xml:space="preserve"> </w:t>
      </w:r>
      <w:r w:rsidRPr="00F75ED9">
        <w:rPr>
          <w:iCs/>
          <w:lang w:val="en-GB"/>
        </w:rPr>
        <w:t>expressed</w:t>
      </w:r>
      <w:r w:rsidRPr="001D5D65">
        <w:rPr>
          <w:iCs/>
          <w:lang w:val="en-US"/>
        </w:rPr>
        <w:t xml:space="preserve"> concern at the insufficient level of financial and human resources allocated to the Gender Equality and Equal Treatment Commissioner to fully carry out </w:t>
      </w:r>
      <w:r w:rsidR="001D5D65">
        <w:rPr>
          <w:iCs/>
          <w:lang w:val="en-US"/>
        </w:rPr>
        <w:t>its</w:t>
      </w:r>
      <w:r w:rsidRPr="001D5D65">
        <w:rPr>
          <w:iCs/>
          <w:lang w:val="en-US"/>
        </w:rPr>
        <w:t xml:space="preserve"> mandate. </w:t>
      </w:r>
      <w:r w:rsidRPr="00F75ED9">
        <w:rPr>
          <w:iCs/>
          <w:lang w:val="en-US"/>
        </w:rPr>
        <w:t xml:space="preserve">It was also concerned that the </w:t>
      </w:r>
      <w:r w:rsidRPr="001D5D65">
        <w:rPr>
          <w:iCs/>
          <w:lang w:val="en-US"/>
        </w:rPr>
        <w:t xml:space="preserve">Equal Treatment Act only prohibits discrimination on the grounds of religion or views, age, disability and sexual orientation in areas relating to working life and the acquisition of professional qualifications, and </w:t>
      </w:r>
      <w:r w:rsidRPr="00F75ED9">
        <w:rPr>
          <w:iCs/>
          <w:lang w:val="en-US"/>
        </w:rPr>
        <w:t>r</w:t>
      </w:r>
      <w:r w:rsidRPr="001D5D65">
        <w:rPr>
          <w:iCs/>
          <w:lang w:val="en-US"/>
        </w:rPr>
        <w:t>egret</w:t>
      </w:r>
      <w:r w:rsidRPr="00F75ED9">
        <w:rPr>
          <w:iCs/>
          <w:lang w:val="en-US"/>
        </w:rPr>
        <w:t>ted</w:t>
      </w:r>
      <w:r w:rsidRPr="001D5D65">
        <w:rPr>
          <w:iCs/>
          <w:lang w:val="en-US"/>
        </w:rPr>
        <w:t xml:space="preserve"> the delay in amending the Act to broaden its scope and application to other social sectors</w:t>
      </w:r>
      <w:r w:rsidRPr="00F75ED9">
        <w:rPr>
          <w:iCs/>
          <w:lang w:val="en-US"/>
        </w:rPr>
        <w:t xml:space="preserve">. </w:t>
      </w:r>
      <w:r w:rsidRPr="001D5D65">
        <w:rPr>
          <w:iCs/>
          <w:lang w:val="en-US"/>
        </w:rPr>
        <w:t xml:space="preserve">The Committee </w:t>
      </w:r>
      <w:r w:rsidRPr="00F75ED9">
        <w:rPr>
          <w:iCs/>
          <w:lang w:val="en-US"/>
        </w:rPr>
        <w:t>recommended that Estonia</w:t>
      </w:r>
      <w:r w:rsidRPr="001D5D65">
        <w:rPr>
          <w:iCs/>
          <w:lang w:val="en-US"/>
        </w:rPr>
        <w:t xml:space="preserve"> amend the Act without delay </w:t>
      </w:r>
      <w:r w:rsidRPr="00F75ED9">
        <w:rPr>
          <w:iCs/>
          <w:lang w:val="en-US"/>
        </w:rPr>
        <w:t>to</w:t>
      </w:r>
      <w:r w:rsidRPr="001D5D65">
        <w:rPr>
          <w:iCs/>
          <w:lang w:val="en-US"/>
        </w:rPr>
        <w:t xml:space="preserve"> ensur</w:t>
      </w:r>
      <w:r w:rsidRPr="00F75ED9">
        <w:rPr>
          <w:iCs/>
          <w:lang w:val="en-US"/>
        </w:rPr>
        <w:t>e</w:t>
      </w:r>
      <w:r w:rsidRPr="001D5D65">
        <w:rPr>
          <w:iCs/>
          <w:lang w:val="en-US"/>
        </w:rPr>
        <w:t xml:space="preserve"> that it prohibits all direct, indirect and intersectional forms of discrimination</w:t>
      </w:r>
      <w:r w:rsidRPr="00F75ED9">
        <w:rPr>
          <w:iCs/>
          <w:lang w:val="en-US"/>
        </w:rPr>
        <w:t xml:space="preserve"> and with the view </w:t>
      </w:r>
      <w:r w:rsidRPr="001D5D65">
        <w:rPr>
          <w:iCs/>
          <w:lang w:val="en-US"/>
        </w:rPr>
        <w:t>to providing effective remedies for victims of discrimination, incl</w:t>
      </w:r>
      <w:r w:rsidR="00B86FD7">
        <w:rPr>
          <w:iCs/>
          <w:lang w:val="en-US"/>
        </w:rPr>
        <w:t>.</w:t>
      </w:r>
      <w:r w:rsidRPr="001D5D65">
        <w:rPr>
          <w:iCs/>
          <w:lang w:val="en-US"/>
        </w:rPr>
        <w:t xml:space="preserve"> through judicial and administrative proceedings. </w:t>
      </w:r>
      <w:r w:rsidRPr="00F75ED9">
        <w:rPr>
          <w:iCs/>
          <w:lang w:val="en-US"/>
        </w:rPr>
        <w:t xml:space="preserve">Drawing attention to </w:t>
      </w:r>
      <w:r w:rsidRPr="001D5D65">
        <w:rPr>
          <w:iCs/>
          <w:lang w:val="en-US"/>
        </w:rPr>
        <w:t>its general comment No. 20 on non-discrimination in economic, social and cultural rights</w:t>
      </w:r>
      <w:r w:rsidRPr="00F75ED9">
        <w:rPr>
          <w:iCs/>
          <w:lang w:val="en-US"/>
        </w:rPr>
        <w:t>, the Committee</w:t>
      </w:r>
      <w:r w:rsidRPr="001D5D65">
        <w:rPr>
          <w:iCs/>
          <w:lang w:val="en-US"/>
        </w:rPr>
        <w:t xml:space="preserve"> </w:t>
      </w:r>
      <w:r w:rsidRPr="00F75ED9">
        <w:rPr>
          <w:iCs/>
          <w:lang w:val="en-US"/>
        </w:rPr>
        <w:t xml:space="preserve">recommended Estonia </w:t>
      </w:r>
      <w:r w:rsidRPr="00F75ED9">
        <w:rPr>
          <w:iCs/>
          <w:lang w:val="en-GB"/>
        </w:rPr>
        <w:t xml:space="preserve"> to </w:t>
      </w:r>
      <w:r w:rsidRPr="001D5D65">
        <w:rPr>
          <w:iCs/>
          <w:lang w:val="en-US"/>
        </w:rPr>
        <w:t xml:space="preserve">allocate a sufficient level of financial and human resources to </w:t>
      </w:r>
      <w:r w:rsidR="00B86FD7">
        <w:rPr>
          <w:iCs/>
          <w:lang w:val="en-US"/>
        </w:rPr>
        <w:t xml:space="preserve">the </w:t>
      </w:r>
      <w:r w:rsidRPr="001D5D65">
        <w:rPr>
          <w:iCs/>
          <w:lang w:val="en-US"/>
        </w:rPr>
        <w:t xml:space="preserve">Commissioner for the effective functioning of </w:t>
      </w:r>
      <w:r w:rsidRPr="00F75ED9">
        <w:rPr>
          <w:iCs/>
          <w:lang w:val="en-US"/>
        </w:rPr>
        <w:t>its</w:t>
      </w:r>
      <w:r w:rsidRPr="001D5D65">
        <w:rPr>
          <w:iCs/>
          <w:lang w:val="en-US"/>
        </w:rPr>
        <w:t xml:space="preserve"> mandate</w:t>
      </w:r>
      <w:r w:rsidRPr="00F75ED9">
        <w:rPr>
          <w:iCs/>
          <w:lang w:val="en-US"/>
        </w:rPr>
        <w:t xml:space="preserve"> (</w:t>
      </w:r>
      <w:hyperlink r:id="rId17" w:history="1">
        <w:r w:rsidRPr="00F75ED9">
          <w:rPr>
            <w:rStyle w:val="Hyperlink"/>
            <w:iCs/>
            <w:lang w:val="en-US"/>
          </w:rPr>
          <w:t>E/C.12/</w:t>
        </w:r>
        <w:r w:rsidRPr="00F75ED9">
          <w:rPr>
            <w:rStyle w:val="Hyperlink"/>
            <w:iCs/>
            <w:lang w:val="en-US"/>
          </w:rPr>
          <w:t>E</w:t>
        </w:r>
        <w:r w:rsidRPr="00F75ED9">
          <w:rPr>
            <w:rStyle w:val="Hyperlink"/>
            <w:iCs/>
            <w:lang w:val="en-US"/>
          </w:rPr>
          <w:t>ST/CO/3</w:t>
        </w:r>
      </w:hyperlink>
      <w:r w:rsidR="00B86FD7">
        <w:rPr>
          <w:iCs/>
          <w:lang w:val="en-US"/>
        </w:rPr>
        <w:t xml:space="preserve">, </w:t>
      </w:r>
      <w:r w:rsidR="002A2484">
        <w:rPr>
          <w:iCs/>
          <w:lang w:val="en-US"/>
        </w:rPr>
        <w:t>para</w:t>
      </w:r>
      <w:r w:rsidRPr="00F75ED9">
        <w:rPr>
          <w:iCs/>
          <w:lang w:val="en-US"/>
        </w:rPr>
        <w:t xml:space="preserve"> 10,11). </w:t>
      </w:r>
    </w:p>
    <w:p w14:paraId="1976C3CD" w14:textId="55002DB9" w:rsidR="00F75ED9" w:rsidRPr="001D5D65" w:rsidRDefault="00F75ED9" w:rsidP="00F75ED9">
      <w:pPr>
        <w:jc w:val="both"/>
        <w:rPr>
          <w:iCs/>
          <w:lang w:val="en-US"/>
        </w:rPr>
      </w:pPr>
      <w:r w:rsidRPr="00F75ED9">
        <w:rPr>
          <w:bCs/>
          <w:iCs/>
          <w:lang w:val="en-US"/>
        </w:rPr>
        <w:t>I</w:t>
      </w:r>
      <w:r w:rsidRPr="00F75ED9">
        <w:rPr>
          <w:bCs/>
          <w:iCs/>
          <w:lang w:val="en-AU"/>
        </w:rPr>
        <w:t xml:space="preserve">n its 2019 concluding observations, the UN Human Rights Committee </w:t>
      </w:r>
      <w:r w:rsidRPr="001D5D65">
        <w:rPr>
          <w:iCs/>
          <w:lang w:val="en-US"/>
        </w:rPr>
        <w:t>note</w:t>
      </w:r>
      <w:r w:rsidRPr="00F75ED9">
        <w:rPr>
          <w:iCs/>
          <w:lang w:val="en-GB"/>
        </w:rPr>
        <w:t>d</w:t>
      </w:r>
      <w:r w:rsidRPr="001D5D65">
        <w:rPr>
          <w:iCs/>
          <w:lang w:val="en-US"/>
        </w:rPr>
        <w:t xml:space="preserve"> the general prohibition of discrimination and the open-ended list of prohibited grounds in article 12 of the Constitution</w:t>
      </w:r>
      <w:r w:rsidR="00B86FD7">
        <w:rPr>
          <w:iCs/>
          <w:lang w:val="en-US"/>
        </w:rPr>
        <w:t>,</w:t>
      </w:r>
      <w:r w:rsidRPr="00F75ED9">
        <w:rPr>
          <w:iCs/>
          <w:lang w:val="en-US"/>
        </w:rPr>
        <w:t xml:space="preserve"> but similarly expressed </w:t>
      </w:r>
      <w:r w:rsidRPr="001D5D65">
        <w:rPr>
          <w:iCs/>
          <w:lang w:val="en-US"/>
        </w:rPr>
        <w:t xml:space="preserve">concern that the Equal Treatment Act does not afford equal protection against discrimination on all the grounds prohibited under the Covenant </w:t>
      </w:r>
      <w:r w:rsidRPr="00F75ED9">
        <w:rPr>
          <w:iCs/>
          <w:lang w:val="en-US"/>
        </w:rPr>
        <w:t xml:space="preserve">on Civil and Political Rights </w:t>
      </w:r>
      <w:r w:rsidRPr="001D5D65">
        <w:rPr>
          <w:iCs/>
          <w:lang w:val="en-US"/>
        </w:rPr>
        <w:t xml:space="preserve">in all spheres of life. </w:t>
      </w:r>
      <w:r w:rsidRPr="00F75ED9">
        <w:rPr>
          <w:iCs/>
          <w:lang w:val="en-GB"/>
        </w:rPr>
        <w:t xml:space="preserve">The Committee </w:t>
      </w:r>
      <w:r w:rsidR="00B86FD7" w:rsidRPr="001D5D65">
        <w:rPr>
          <w:iCs/>
          <w:lang w:val="en-US"/>
        </w:rPr>
        <w:t>welcome</w:t>
      </w:r>
      <w:r w:rsidR="00B86FD7">
        <w:rPr>
          <w:iCs/>
          <w:lang w:val="en-US"/>
        </w:rPr>
        <w:t>d</w:t>
      </w:r>
      <w:r w:rsidRPr="001D5D65">
        <w:rPr>
          <w:iCs/>
          <w:lang w:val="en-US"/>
        </w:rPr>
        <w:t xml:space="preserve"> the increase in the budget of the Office of the Gender Equality and Equal Treatment Commissioner</w:t>
      </w:r>
      <w:r w:rsidRPr="00F75ED9">
        <w:rPr>
          <w:iCs/>
          <w:lang w:val="en-US"/>
        </w:rPr>
        <w:t xml:space="preserve"> but </w:t>
      </w:r>
      <w:r w:rsidRPr="001D5D65">
        <w:rPr>
          <w:iCs/>
          <w:lang w:val="en-US"/>
        </w:rPr>
        <w:t>regret</w:t>
      </w:r>
      <w:r w:rsidRPr="00F75ED9">
        <w:rPr>
          <w:iCs/>
          <w:lang w:val="en-US"/>
        </w:rPr>
        <w:t>ted</w:t>
      </w:r>
      <w:r w:rsidRPr="001D5D65">
        <w:rPr>
          <w:iCs/>
          <w:lang w:val="en-US"/>
        </w:rPr>
        <w:t xml:space="preserve"> that the Commissioner </w:t>
      </w:r>
      <w:r w:rsidRPr="00F75ED9">
        <w:rPr>
          <w:iCs/>
          <w:lang w:val="en-US"/>
        </w:rPr>
        <w:t>did</w:t>
      </w:r>
      <w:r w:rsidRPr="001D5D65">
        <w:rPr>
          <w:iCs/>
          <w:lang w:val="en-US"/>
        </w:rPr>
        <w:t xml:space="preserve"> not have standing in domestic court proceedings, neither as a legal representative of victims of discrimination nor as an expert party, and that no tangible progress ha</w:t>
      </w:r>
      <w:r w:rsidRPr="00F75ED9">
        <w:rPr>
          <w:iCs/>
          <w:lang w:val="en-GB"/>
        </w:rPr>
        <w:t>d</w:t>
      </w:r>
      <w:r w:rsidRPr="001D5D65">
        <w:rPr>
          <w:iCs/>
          <w:lang w:val="en-US"/>
        </w:rPr>
        <w:t xml:space="preserve"> been achieved in that regard despite the Government’s consideration of the matter. The Committee </w:t>
      </w:r>
      <w:r w:rsidR="00B86FD7">
        <w:rPr>
          <w:iCs/>
          <w:lang w:val="en-GB"/>
        </w:rPr>
        <w:t>was</w:t>
      </w:r>
      <w:r w:rsidRPr="001D5D65">
        <w:rPr>
          <w:iCs/>
          <w:lang w:val="en-US"/>
        </w:rPr>
        <w:t xml:space="preserve"> also concerned that awareness among the population at large about equal treatment legislation and the available remedies remain</w:t>
      </w:r>
      <w:r w:rsidRPr="00F75ED9">
        <w:rPr>
          <w:iCs/>
          <w:lang w:val="en-US"/>
        </w:rPr>
        <w:t>ed</w:t>
      </w:r>
      <w:r w:rsidRPr="001D5D65">
        <w:rPr>
          <w:iCs/>
          <w:lang w:val="en-US"/>
        </w:rPr>
        <w:t xml:space="preserve"> insufficient</w:t>
      </w:r>
      <w:r w:rsidRPr="00F75ED9">
        <w:rPr>
          <w:iCs/>
          <w:lang w:val="en-US"/>
        </w:rPr>
        <w:t xml:space="preserve">. </w:t>
      </w:r>
      <w:r w:rsidR="00B86FD7" w:rsidRPr="00B86FD7">
        <w:rPr>
          <w:iCs/>
          <w:lang w:val="en-US"/>
        </w:rPr>
        <w:t>Among several recommendations, it stated Estonia should consider granting standing to the Commissioner in domestic court proceedings relating to discrimination</w:t>
      </w:r>
      <w:r w:rsidR="00B86FD7">
        <w:rPr>
          <w:iCs/>
          <w:lang w:val="en-US"/>
        </w:rPr>
        <w:t>.</w:t>
      </w:r>
      <w:r w:rsidR="00B86FD7" w:rsidRPr="00B86FD7">
        <w:rPr>
          <w:iCs/>
          <w:lang w:val="en-US"/>
        </w:rPr>
        <w:t xml:space="preserve"> </w:t>
      </w:r>
      <w:r w:rsidRPr="00F75ED9">
        <w:rPr>
          <w:iCs/>
          <w:lang w:val="en-US"/>
        </w:rPr>
        <w:t>(</w:t>
      </w:r>
      <w:hyperlink r:id="rId18" w:history="1">
        <w:r w:rsidRPr="00F75ED9">
          <w:rPr>
            <w:rStyle w:val="Hyperlink"/>
            <w:iCs/>
            <w:lang w:val="en-GB"/>
          </w:rPr>
          <w:t>CCPR/C/EST/CO/4</w:t>
        </w:r>
      </w:hyperlink>
      <w:r w:rsidR="00CA3CA2">
        <w:rPr>
          <w:rStyle w:val="Hyperlink"/>
          <w:iCs/>
          <w:lang w:val="en-GB"/>
        </w:rPr>
        <w:t>,</w:t>
      </w:r>
      <w:r w:rsidRPr="001D5D65">
        <w:rPr>
          <w:iCs/>
          <w:lang w:val="en-US"/>
        </w:rPr>
        <w:t xml:space="preserve"> </w:t>
      </w:r>
      <w:r w:rsidRPr="00F75ED9">
        <w:rPr>
          <w:iCs/>
          <w:lang w:val="en-US"/>
        </w:rPr>
        <w:t>para 11)</w:t>
      </w:r>
    </w:p>
    <w:bookmarkEnd w:id="1"/>
    <w:p w14:paraId="25A79266" w14:textId="06F316C2" w:rsidR="001B7CA2" w:rsidRPr="001B7CA2" w:rsidRDefault="001B7CA2" w:rsidP="001B7CA2">
      <w:pPr>
        <w:rPr>
          <w:lang w:val="en-GB"/>
        </w:rPr>
      </w:pPr>
      <w:r w:rsidRPr="001B7CA2">
        <w:rPr>
          <w:b/>
          <w:bCs/>
          <w:i/>
          <w:iCs/>
          <w:lang w:val="en-GB"/>
        </w:rPr>
        <w:t xml:space="preserve">C. Accessibility and judicial review of administrative decisions </w:t>
      </w:r>
    </w:p>
    <w:p w14:paraId="28A8155E" w14:textId="34F1B53D" w:rsidR="001B7CA2" w:rsidRDefault="001B7CA2" w:rsidP="001B7CA2">
      <w:pPr>
        <w:rPr>
          <w:i/>
          <w:iCs/>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00A6734C" w14:textId="57C599C3" w:rsidR="002A2484" w:rsidRPr="002A2484" w:rsidRDefault="002A2484" w:rsidP="002A2484">
      <w:pPr>
        <w:jc w:val="both"/>
        <w:rPr>
          <w:bCs/>
          <w:iCs/>
          <w:lang w:val="en-GB"/>
        </w:rPr>
      </w:pPr>
      <w:r w:rsidRPr="002A2484">
        <w:rPr>
          <w:bCs/>
          <w:iCs/>
          <w:lang w:val="en-AU"/>
        </w:rPr>
        <w:t>In its 2019 concluding observations, the UN Human Rights Committee</w:t>
      </w:r>
      <w:r w:rsidRPr="002A2484">
        <w:rPr>
          <w:iCs/>
          <w:lang w:val="en-US"/>
        </w:rPr>
        <w:t xml:space="preserve"> </w:t>
      </w:r>
      <w:r w:rsidRPr="002A2484">
        <w:rPr>
          <w:iCs/>
          <w:lang w:val="en-GB"/>
        </w:rPr>
        <w:t>was</w:t>
      </w:r>
      <w:r w:rsidRPr="001D5D65">
        <w:rPr>
          <w:iCs/>
          <w:lang w:val="en-US"/>
        </w:rPr>
        <w:t xml:space="preserve"> concerned about the lack of sufficient safeguards against arbitrary interference with the right to privacy with regard to surveillance and interception activities by State security and intelligence agencies and with regard to intelligence sharing with foreign entities. </w:t>
      </w:r>
      <w:r w:rsidRPr="002A2484">
        <w:rPr>
          <w:iCs/>
          <w:lang w:val="en-GB"/>
        </w:rPr>
        <w:t xml:space="preserve">It found that </w:t>
      </w:r>
      <w:r w:rsidRPr="002A2484">
        <w:rPr>
          <w:iCs/>
          <w:lang w:val="en-US"/>
        </w:rPr>
        <w:t>Estonia</w:t>
      </w:r>
      <w:r w:rsidRPr="001D5D65">
        <w:rPr>
          <w:iCs/>
          <w:lang w:val="en-US"/>
        </w:rPr>
        <w:t xml:space="preserve"> should ensure that (a) any such interference with privacy requires prior authorization from a court or other suitable independent body and is subject to effective and independent oversight mechanisms; (b) access to communications data is limited to the extent strictly necessary for investigations into and prosecution of serious crimes; and (c) persons affected are notified of surveillance and interception activities, where possible, and have access to effective remedies in cases of abuse </w:t>
      </w:r>
      <w:r w:rsidRPr="002A2484">
        <w:rPr>
          <w:iCs/>
          <w:lang w:val="en-GB"/>
        </w:rPr>
        <w:t>(</w:t>
      </w:r>
      <w:hyperlink r:id="rId19" w:history="1">
        <w:r w:rsidRPr="002A2484">
          <w:rPr>
            <w:rStyle w:val="Hyperlink"/>
            <w:iCs/>
            <w:lang w:val="en-GB"/>
          </w:rPr>
          <w:t>CCPR/C/EST/CO/4</w:t>
        </w:r>
      </w:hyperlink>
      <w:r>
        <w:rPr>
          <w:iCs/>
          <w:lang w:val="en-GB"/>
        </w:rPr>
        <w:t>, para</w:t>
      </w:r>
      <w:r w:rsidRPr="002A2484">
        <w:rPr>
          <w:iCs/>
          <w:lang w:val="en-GB"/>
        </w:rPr>
        <w:t xml:space="preserve"> 29, 30)</w:t>
      </w:r>
      <w:r>
        <w:rPr>
          <w:iCs/>
          <w:lang w:val="en-GB"/>
        </w:rPr>
        <w:t>.</w:t>
      </w:r>
    </w:p>
    <w:p w14:paraId="3730F66B" w14:textId="101F72A0" w:rsidR="002A2484" w:rsidRPr="002A2484" w:rsidRDefault="002A2484" w:rsidP="002A2484">
      <w:pPr>
        <w:jc w:val="both"/>
        <w:rPr>
          <w:bCs/>
          <w:iCs/>
          <w:lang w:val="en-GB"/>
        </w:rPr>
      </w:pPr>
      <w:r w:rsidRPr="002A2484">
        <w:rPr>
          <w:bCs/>
          <w:iCs/>
          <w:lang w:val="en-AU"/>
        </w:rPr>
        <w:t>In its 2019 concluding observations, the UN Human Rights Committee</w:t>
      </w:r>
      <w:r w:rsidRPr="002A2484">
        <w:rPr>
          <w:iCs/>
          <w:lang w:val="en-US"/>
        </w:rPr>
        <w:t xml:space="preserve"> expressed</w:t>
      </w:r>
      <w:r w:rsidRPr="001D5D65">
        <w:rPr>
          <w:iCs/>
          <w:lang w:val="en-US"/>
        </w:rPr>
        <w:t xml:space="preserve"> concern that legal and procedural safeguards for involuntary treatment of persons with psychosocial or intellectual disabilities may not be sufficient to guarantee their rights and interests.</w:t>
      </w:r>
      <w:r w:rsidRPr="002A2484">
        <w:rPr>
          <w:iCs/>
          <w:lang w:val="en-GB"/>
        </w:rPr>
        <w:t xml:space="preserve"> As part of the recommended </w:t>
      </w:r>
      <w:r w:rsidRPr="001D5D65">
        <w:rPr>
          <w:iCs/>
          <w:lang w:val="en-US"/>
        </w:rPr>
        <w:t xml:space="preserve"> comprehensive </w:t>
      </w:r>
      <w:r w:rsidRPr="002A2484">
        <w:rPr>
          <w:iCs/>
          <w:lang w:val="en-US"/>
        </w:rPr>
        <w:t xml:space="preserve">safeguard </w:t>
      </w:r>
      <w:r w:rsidRPr="001D5D65">
        <w:rPr>
          <w:iCs/>
          <w:lang w:val="en-US"/>
        </w:rPr>
        <w:t>procedures</w:t>
      </w:r>
      <w:r w:rsidRPr="002A2484">
        <w:rPr>
          <w:iCs/>
          <w:lang w:val="en-US"/>
        </w:rPr>
        <w:t>, the Committee recommended</w:t>
      </w:r>
      <w:r w:rsidRPr="001D5D65">
        <w:rPr>
          <w:iCs/>
          <w:lang w:val="en-US"/>
        </w:rPr>
        <w:t xml:space="preserve"> that </w:t>
      </w:r>
      <w:r w:rsidRPr="002A2484">
        <w:rPr>
          <w:iCs/>
          <w:lang w:val="en-US"/>
        </w:rPr>
        <w:t xml:space="preserve">decisions relating to </w:t>
      </w:r>
      <w:r w:rsidRPr="001D5D65">
        <w:rPr>
          <w:iCs/>
          <w:lang w:val="en-US"/>
        </w:rPr>
        <w:t xml:space="preserve">non-consensual psychiatric treatment </w:t>
      </w:r>
      <w:r w:rsidRPr="002A2484">
        <w:rPr>
          <w:iCs/>
          <w:lang w:val="en-US"/>
        </w:rPr>
        <w:t>be</w:t>
      </w:r>
      <w:r w:rsidRPr="001D5D65">
        <w:rPr>
          <w:iCs/>
          <w:lang w:val="en-US"/>
        </w:rPr>
        <w:t xml:space="preserve"> under regular independent review</w:t>
      </w:r>
      <w:r w:rsidRPr="002A2484">
        <w:rPr>
          <w:iCs/>
          <w:lang w:val="en-US"/>
        </w:rPr>
        <w:t xml:space="preserve"> and that there</w:t>
      </w:r>
      <w:r w:rsidRPr="001D5D65">
        <w:rPr>
          <w:iCs/>
          <w:lang w:val="en-US"/>
        </w:rPr>
        <w:t xml:space="preserve"> should guarantee effective access to judicial review of </w:t>
      </w:r>
      <w:r w:rsidRPr="002A2484">
        <w:rPr>
          <w:iCs/>
          <w:lang w:val="en-US"/>
        </w:rPr>
        <w:t xml:space="preserve">such </w:t>
      </w:r>
      <w:r w:rsidRPr="001D5D65">
        <w:rPr>
          <w:iCs/>
          <w:lang w:val="en-US"/>
        </w:rPr>
        <w:t>decisions, including by ensuring that relatives and any other legal representatives of patients are sufficiently informed about the procedure for requesting the termination of coercive treatment, pursuant to article 403 of the Code of Criminal Procedure (</w:t>
      </w:r>
      <w:hyperlink r:id="rId20" w:history="1">
        <w:r w:rsidRPr="002A2484">
          <w:rPr>
            <w:rStyle w:val="Hyperlink"/>
            <w:iCs/>
            <w:lang w:val="en-GB"/>
          </w:rPr>
          <w:t>CCPR/C/EST/CO/4</w:t>
        </w:r>
      </w:hyperlink>
      <w:r>
        <w:rPr>
          <w:iCs/>
          <w:lang w:val="en-GB"/>
        </w:rPr>
        <w:t>, para</w:t>
      </w:r>
      <w:r w:rsidRPr="002A2484">
        <w:rPr>
          <w:iCs/>
          <w:lang w:val="en-GB"/>
        </w:rPr>
        <w:t xml:space="preserve"> 23, 24)</w:t>
      </w:r>
    </w:p>
    <w:p w14:paraId="3A04C2DE" w14:textId="56EBC2A8" w:rsidR="002A2484" w:rsidRPr="00FB6631" w:rsidRDefault="002A2484" w:rsidP="002A2484">
      <w:pPr>
        <w:jc w:val="both"/>
        <w:rPr>
          <w:iCs/>
          <w:lang w:val="en-US"/>
        </w:rPr>
      </w:pPr>
      <w:r w:rsidRPr="002A2484">
        <w:rPr>
          <w:bCs/>
          <w:iCs/>
          <w:lang w:val="en-AU"/>
        </w:rPr>
        <w:t>In the case of asylum procedure, the UN Human Rights Committee</w:t>
      </w:r>
      <w:r w:rsidRPr="001D5D65">
        <w:rPr>
          <w:iCs/>
          <w:lang w:val="en-US"/>
        </w:rPr>
        <w:t xml:space="preserve"> </w:t>
      </w:r>
      <w:r w:rsidRPr="002A2484">
        <w:rPr>
          <w:iCs/>
          <w:lang w:val="en-GB"/>
        </w:rPr>
        <w:t xml:space="preserve">was also concerned </w:t>
      </w:r>
      <w:r w:rsidRPr="001D5D65">
        <w:rPr>
          <w:iCs/>
          <w:lang w:val="en-US"/>
        </w:rPr>
        <w:t>about the limited access to effective remedies against asylum decisions taken at the border</w:t>
      </w:r>
      <w:r w:rsidRPr="002A2484">
        <w:rPr>
          <w:iCs/>
          <w:lang w:val="en-US"/>
        </w:rPr>
        <w:t>,</w:t>
      </w:r>
      <w:r w:rsidRPr="001D5D65">
        <w:rPr>
          <w:iCs/>
          <w:lang w:val="en-US"/>
        </w:rPr>
        <w:t xml:space="preserve"> due to the lack of access to free legal counselling or assistance in suitable cases. The Committee </w:t>
      </w:r>
      <w:r w:rsidRPr="002A2484">
        <w:rPr>
          <w:iCs/>
          <w:lang w:val="en-US"/>
        </w:rPr>
        <w:t>was</w:t>
      </w:r>
      <w:r w:rsidRPr="001D5D65">
        <w:rPr>
          <w:iCs/>
          <w:lang w:val="en-US"/>
        </w:rPr>
        <w:t xml:space="preserve"> further concerned at reports that asylum seekers have been accused of irregular entry or stay under the second item of article 258 (1) of the Criminal Code, and that application for international protection does not preclude the initiation of criminal proceedings under the said provision</w:t>
      </w:r>
      <w:r w:rsidRPr="002A2484">
        <w:rPr>
          <w:iCs/>
          <w:lang w:val="en-GB"/>
        </w:rPr>
        <w:t>. It recommended inter alia that Estonia</w:t>
      </w:r>
      <w:r w:rsidRPr="001D5D65">
        <w:rPr>
          <w:iCs/>
          <w:lang w:val="en-US"/>
        </w:rPr>
        <w:t xml:space="preserve"> should</w:t>
      </w:r>
      <w:r w:rsidRPr="002A2484">
        <w:rPr>
          <w:iCs/>
          <w:lang w:val="en-GB"/>
        </w:rPr>
        <w:t xml:space="preserve"> p</w:t>
      </w:r>
      <w:r w:rsidRPr="001D5D65">
        <w:rPr>
          <w:iCs/>
          <w:lang w:val="en-US"/>
        </w:rPr>
        <w:t>rovide free legal aid, in suitable cases, to applicants for asylum at the border to ensure the exercise of their right to appeal in practice;</w:t>
      </w:r>
      <w:r w:rsidRPr="002A2484">
        <w:rPr>
          <w:iCs/>
          <w:lang w:val="en-GB"/>
        </w:rPr>
        <w:t xml:space="preserve"> </w:t>
      </w:r>
      <w:r w:rsidRPr="002A2484">
        <w:rPr>
          <w:iCs/>
          <w:lang w:val="en-US"/>
        </w:rPr>
        <w:t>c</w:t>
      </w:r>
      <w:r w:rsidRPr="001D5D65">
        <w:rPr>
          <w:iCs/>
          <w:lang w:val="en-US"/>
        </w:rPr>
        <w:t>onsider including adequate safeguards in the Criminal Code to ensure that individuals exercising their right to seek asylum are released from any criminal liability for illegal entry or stay;</w:t>
      </w:r>
      <w:r w:rsidRPr="002A2484">
        <w:rPr>
          <w:iCs/>
          <w:lang w:val="en-GB"/>
        </w:rPr>
        <w:t xml:space="preserve"> and </w:t>
      </w:r>
      <w:r w:rsidRPr="002A2484">
        <w:rPr>
          <w:iCs/>
          <w:lang w:val="en-US"/>
        </w:rPr>
        <w:t>e</w:t>
      </w:r>
      <w:r w:rsidRPr="001D5D65">
        <w:rPr>
          <w:iCs/>
          <w:lang w:val="en-US"/>
        </w:rPr>
        <w:t>nsure that any legislation adopted following the further consideration clarifies the term “danger to the community of Estonia” (</w:t>
      </w:r>
      <w:hyperlink r:id="rId21" w:history="1">
        <w:r w:rsidRPr="002A2484">
          <w:rPr>
            <w:rStyle w:val="Hyperlink"/>
            <w:iCs/>
            <w:lang w:val="en-GB"/>
          </w:rPr>
          <w:t>CCPR/C/EST/CO/4</w:t>
        </w:r>
      </w:hyperlink>
      <w:r w:rsidR="00CA3CA2">
        <w:rPr>
          <w:rStyle w:val="Hyperlink"/>
          <w:iCs/>
          <w:lang w:val="en-GB"/>
        </w:rPr>
        <w:t>,</w:t>
      </w:r>
      <w:r w:rsidRPr="001D5D65">
        <w:rPr>
          <w:iCs/>
          <w:lang w:val="en-US"/>
        </w:rPr>
        <w:t xml:space="preserve"> </w:t>
      </w:r>
      <w:r>
        <w:rPr>
          <w:iCs/>
          <w:lang w:val="en-US"/>
        </w:rPr>
        <w:t>para</w:t>
      </w:r>
      <w:r w:rsidRPr="002A2484">
        <w:rPr>
          <w:iCs/>
          <w:lang w:val="en-US"/>
        </w:rPr>
        <w:t xml:space="preserve"> 27, 28)</w:t>
      </w:r>
      <w:r>
        <w:rPr>
          <w:iCs/>
          <w:lang w:val="en-US"/>
        </w:rPr>
        <w:t>.</w:t>
      </w:r>
    </w:p>
    <w:p w14:paraId="53488779" w14:textId="2F756CB0" w:rsidR="001B7CA2" w:rsidRDefault="001B7CA2" w:rsidP="001B7CA2">
      <w:pPr>
        <w:rPr>
          <w:i/>
          <w:iCs/>
          <w:lang w:val="en-GB"/>
        </w:rPr>
      </w:pPr>
      <w:r w:rsidRPr="001B7CA2">
        <w:rPr>
          <w:i/>
          <w:iCs/>
          <w:lang w:val="en-GB"/>
        </w:rPr>
        <w:t xml:space="preserve">44. Implementation by the public administration and State institutions of final court decisions </w:t>
      </w:r>
    </w:p>
    <w:p w14:paraId="051BC5F9" w14:textId="058C9129" w:rsidR="00FB6631" w:rsidRPr="00FB6631" w:rsidRDefault="00FB6631" w:rsidP="00FB6631">
      <w:pPr>
        <w:jc w:val="both"/>
        <w:rPr>
          <w:iCs/>
          <w:lang w:val="en-GB"/>
        </w:rPr>
      </w:pPr>
      <w:r w:rsidRPr="00FB6631">
        <w:rPr>
          <w:bCs/>
          <w:iCs/>
          <w:lang w:val="en-AU"/>
        </w:rPr>
        <w:t xml:space="preserve">In its 2019 concluding observations, the UN Human Rights Committee expressed </w:t>
      </w:r>
      <w:r w:rsidRPr="001D5D65">
        <w:rPr>
          <w:iCs/>
          <w:lang w:val="en-US"/>
        </w:rPr>
        <w:t>concern</w:t>
      </w:r>
      <w:r w:rsidRPr="00FB6631">
        <w:rPr>
          <w:iCs/>
          <w:lang w:val="en-US"/>
        </w:rPr>
        <w:t xml:space="preserve"> </w:t>
      </w:r>
      <w:r w:rsidRPr="001D5D65">
        <w:rPr>
          <w:iCs/>
          <w:lang w:val="en-US"/>
        </w:rPr>
        <w:t xml:space="preserve">about the absence of effective mechanisms and legal procedures for authors of individual </w:t>
      </w:r>
      <w:r w:rsidRPr="00FB6631">
        <w:rPr>
          <w:iCs/>
          <w:lang w:val="en-US"/>
        </w:rPr>
        <w:t xml:space="preserve">complaints submitted to the Committee, </w:t>
      </w:r>
      <w:r w:rsidRPr="001D5D65">
        <w:rPr>
          <w:iCs/>
          <w:lang w:val="en-US"/>
        </w:rPr>
        <w:t>to seek, in law and in practice, the full implementation of Views adopted under the Optional Protocol</w:t>
      </w:r>
      <w:r w:rsidRPr="00FB6631">
        <w:rPr>
          <w:iCs/>
          <w:lang w:val="en-US"/>
        </w:rPr>
        <w:t xml:space="preserve"> to the Covenant</w:t>
      </w:r>
      <w:r w:rsidRPr="001D5D65">
        <w:rPr>
          <w:iCs/>
          <w:lang w:val="en-US"/>
        </w:rPr>
        <w:t xml:space="preserve">. </w:t>
      </w:r>
      <w:r w:rsidRPr="00FB6631">
        <w:rPr>
          <w:iCs/>
          <w:lang w:val="en-US"/>
        </w:rPr>
        <w:t>It found Estonia</w:t>
      </w:r>
      <w:r w:rsidRPr="001D5D65">
        <w:rPr>
          <w:iCs/>
          <w:lang w:val="en-US"/>
        </w:rPr>
        <w:t xml:space="preserve"> should ensure the full implementation of the concluding observations and Views adopted by the Committee</w:t>
      </w:r>
      <w:r w:rsidRPr="00FB6631">
        <w:rPr>
          <w:iCs/>
          <w:lang w:val="en-US"/>
        </w:rPr>
        <w:t xml:space="preserve">, </w:t>
      </w:r>
      <w:r w:rsidRPr="001D5D65">
        <w:rPr>
          <w:iCs/>
          <w:lang w:val="en-US"/>
        </w:rPr>
        <w:t xml:space="preserve">and guarantee the right of victims to an effective remedy when there has been a violation of the Covenant </w:t>
      </w:r>
      <w:r>
        <w:rPr>
          <w:iCs/>
          <w:lang w:val="en-US"/>
        </w:rPr>
        <w:t xml:space="preserve">on Civil and Political Rights. </w:t>
      </w:r>
      <w:r w:rsidRPr="00FB6631">
        <w:rPr>
          <w:iCs/>
          <w:lang w:val="en-US"/>
        </w:rPr>
        <w:t xml:space="preserve">The Committee also recommend Estonia to </w:t>
      </w:r>
      <w:r w:rsidRPr="001D5D65">
        <w:rPr>
          <w:iCs/>
          <w:lang w:val="en-US"/>
        </w:rPr>
        <w:t xml:space="preserve">intensify its efforts to raise awareness about the Covenant and its Optional Protocol, including </w:t>
      </w:r>
      <w:r w:rsidRPr="00FB6631">
        <w:rPr>
          <w:iCs/>
          <w:lang w:val="en-US"/>
        </w:rPr>
        <w:t xml:space="preserve">by </w:t>
      </w:r>
      <w:r w:rsidRPr="001D5D65">
        <w:rPr>
          <w:iCs/>
          <w:lang w:val="en-US"/>
        </w:rPr>
        <w:t xml:space="preserve">providing specific training on the Covenant to government officials, judges, prosecutors and lawyers. </w:t>
      </w:r>
      <w:r w:rsidRPr="00FB6631">
        <w:rPr>
          <w:iCs/>
          <w:lang w:val="en-GB"/>
        </w:rPr>
        <w:t>(</w:t>
      </w:r>
      <w:hyperlink r:id="rId22" w:history="1">
        <w:r w:rsidRPr="00FB6631">
          <w:rPr>
            <w:rStyle w:val="Hyperlink"/>
            <w:iCs/>
            <w:lang w:val="en-GB"/>
          </w:rPr>
          <w:t>CCPR/C/EST/CO/4</w:t>
        </w:r>
      </w:hyperlink>
      <w:r w:rsidR="00CA3CA2">
        <w:rPr>
          <w:rStyle w:val="Hyperlink"/>
          <w:iCs/>
          <w:lang w:val="en-GB"/>
        </w:rPr>
        <w:t>,</w:t>
      </w:r>
      <w:r w:rsidR="00CA3CA2">
        <w:rPr>
          <w:iCs/>
          <w:lang w:val="en-GB"/>
        </w:rPr>
        <w:t xml:space="preserve"> para</w:t>
      </w:r>
      <w:r w:rsidRPr="00FB6631">
        <w:rPr>
          <w:iCs/>
          <w:lang w:val="en-GB"/>
        </w:rPr>
        <w:t xml:space="preserve"> 5,6). </w:t>
      </w:r>
    </w:p>
    <w:p w14:paraId="46D75781" w14:textId="77777777" w:rsidR="00FB6631" w:rsidRPr="00FB6631" w:rsidRDefault="00FB6631" w:rsidP="001B7CA2">
      <w:pPr>
        <w:rPr>
          <w:lang w:val="en-GB"/>
        </w:rPr>
      </w:pP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77777777" w:rsidR="001B7CA2" w:rsidRPr="001B7CA2" w:rsidRDefault="001B7CA2" w:rsidP="001B7CA2">
      <w:pPr>
        <w:rPr>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6188EECA" w14:textId="77777777" w:rsidR="001B7CA2" w:rsidRPr="001B7CA2" w:rsidRDefault="001B7CA2" w:rsidP="001B7CA2">
      <w:pPr>
        <w:rPr>
          <w:lang w:val="en-GB"/>
        </w:rPr>
      </w:pPr>
      <w:r w:rsidRPr="001B7CA2">
        <w:rPr>
          <w:b/>
          <w:bCs/>
          <w:i/>
          <w:iCs/>
          <w:lang w:val="en-GB"/>
        </w:rPr>
        <w:t xml:space="preserve">E. Initiatives to foster a rule of law culture </w:t>
      </w:r>
    </w:p>
    <w:p w14:paraId="5D3DA062" w14:textId="77777777"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203ECA1D" w14:textId="77777777" w:rsidR="001B7CA2" w:rsidRPr="00DF26EC" w:rsidRDefault="001B7CA2" w:rsidP="001B7CA2">
      <w:r w:rsidRPr="00DF26EC">
        <w:rPr>
          <w:b/>
          <w:bCs/>
          <w:i/>
          <w:iCs/>
        </w:rPr>
        <w:t>Other – please specify</w:t>
      </w:r>
    </w:p>
    <w:p w14:paraId="5CA0D1C6" w14:textId="77777777" w:rsidR="00983F5C" w:rsidRPr="008C7A94" w:rsidRDefault="00983F5C"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23"/>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FBFB3" w16cex:dateUtc="2021-03-07T2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48B195" w16cid:durableId="23EFBFB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CEB30" w14:textId="77777777" w:rsidR="003330FA" w:rsidRDefault="003330FA" w:rsidP="00AB6BD8">
      <w:pPr>
        <w:spacing w:after="0" w:line="240" w:lineRule="auto"/>
      </w:pPr>
      <w:r>
        <w:separator/>
      </w:r>
    </w:p>
  </w:endnote>
  <w:endnote w:type="continuationSeparator" w:id="0">
    <w:p w14:paraId="020FAFDB" w14:textId="77777777" w:rsidR="003330FA" w:rsidRDefault="003330FA"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SimSun"/>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2F9FD8F3" w:rsidR="008F5F0F" w:rsidRDefault="008F5F0F">
        <w:pPr>
          <w:pStyle w:val="Footer"/>
          <w:jc w:val="center"/>
        </w:pPr>
        <w:r>
          <w:fldChar w:fldCharType="begin"/>
        </w:r>
        <w:r>
          <w:instrText>PAGE   \* MERGEFORMAT</w:instrText>
        </w:r>
        <w:r>
          <w:fldChar w:fldCharType="separate"/>
        </w:r>
        <w:r w:rsidR="003330FA" w:rsidRPr="003330FA">
          <w:rPr>
            <w:noProof/>
            <w:lang w:val="fr-FR"/>
          </w:rPr>
          <w:t>1</w:t>
        </w:r>
        <w:r>
          <w:fldChar w:fldCharType="end"/>
        </w:r>
      </w:p>
    </w:sdtContent>
  </w:sdt>
  <w:p w14:paraId="1E65FFBB" w14:textId="77777777" w:rsidR="008F5F0F" w:rsidRDefault="008F5F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94262" w14:textId="77777777" w:rsidR="003330FA" w:rsidRDefault="003330FA" w:rsidP="00AB6BD8">
      <w:pPr>
        <w:spacing w:after="0" w:line="240" w:lineRule="auto"/>
      </w:pPr>
      <w:r>
        <w:separator/>
      </w:r>
    </w:p>
  </w:footnote>
  <w:footnote w:type="continuationSeparator" w:id="0">
    <w:p w14:paraId="5BF8F21B" w14:textId="77777777" w:rsidR="003330FA" w:rsidRDefault="003330FA"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2"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3"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BE" w:vendorID="64" w:dllVersion="0" w:nlCheck="1" w:checkStyle="0"/>
  <w:activeWritingStyle w:appName="MSWord" w:lang="en-BE" w:vendorID="64" w:dllVersion="0" w:nlCheck="1" w:checkStyle="0"/>
  <w:activeWritingStyle w:appName="MSWord" w:lang="en-GB" w:vendorID="64" w:dllVersion="131078" w:nlCheck="1" w:checkStyle="0"/>
  <w:activeWritingStyle w:appName="MSWord" w:lang="en-AU"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0"/>
  <w:defaultTabStop w:val="708"/>
  <w:hyphenationZone w:val="425"/>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751E3"/>
    <w:rsid w:val="000F74F4"/>
    <w:rsid w:val="00103509"/>
    <w:rsid w:val="00137F92"/>
    <w:rsid w:val="001832F3"/>
    <w:rsid w:val="00195595"/>
    <w:rsid w:val="001B7CA2"/>
    <w:rsid w:val="001C79A2"/>
    <w:rsid w:val="001C7CCF"/>
    <w:rsid w:val="001D5D65"/>
    <w:rsid w:val="002057FA"/>
    <w:rsid w:val="00221C79"/>
    <w:rsid w:val="00240E43"/>
    <w:rsid w:val="002472AE"/>
    <w:rsid w:val="00251082"/>
    <w:rsid w:val="002647E1"/>
    <w:rsid w:val="00275AE3"/>
    <w:rsid w:val="002A2484"/>
    <w:rsid w:val="002C15AB"/>
    <w:rsid w:val="002D45D1"/>
    <w:rsid w:val="002F17F8"/>
    <w:rsid w:val="002F31B3"/>
    <w:rsid w:val="00325AFB"/>
    <w:rsid w:val="0032686C"/>
    <w:rsid w:val="003330FA"/>
    <w:rsid w:val="003367E2"/>
    <w:rsid w:val="003445F5"/>
    <w:rsid w:val="00374472"/>
    <w:rsid w:val="00383787"/>
    <w:rsid w:val="003A6DA2"/>
    <w:rsid w:val="003A77A0"/>
    <w:rsid w:val="00451BE5"/>
    <w:rsid w:val="004809CC"/>
    <w:rsid w:val="00486F56"/>
    <w:rsid w:val="004A0573"/>
    <w:rsid w:val="004A47F6"/>
    <w:rsid w:val="004F265D"/>
    <w:rsid w:val="005468F6"/>
    <w:rsid w:val="005C35A3"/>
    <w:rsid w:val="005C49C5"/>
    <w:rsid w:val="005D6FF6"/>
    <w:rsid w:val="006435C2"/>
    <w:rsid w:val="0066480F"/>
    <w:rsid w:val="00667429"/>
    <w:rsid w:val="006A249D"/>
    <w:rsid w:val="006C1046"/>
    <w:rsid w:val="006F2DC5"/>
    <w:rsid w:val="007D4A56"/>
    <w:rsid w:val="0080379C"/>
    <w:rsid w:val="00806AA3"/>
    <w:rsid w:val="00812CA6"/>
    <w:rsid w:val="00815599"/>
    <w:rsid w:val="00817D41"/>
    <w:rsid w:val="008257F0"/>
    <w:rsid w:val="0085755C"/>
    <w:rsid w:val="008628EF"/>
    <w:rsid w:val="00867498"/>
    <w:rsid w:val="00897AD9"/>
    <w:rsid w:val="008A1B74"/>
    <w:rsid w:val="008A7229"/>
    <w:rsid w:val="008B5DE9"/>
    <w:rsid w:val="008C05BB"/>
    <w:rsid w:val="008C7A94"/>
    <w:rsid w:val="008E537C"/>
    <w:rsid w:val="008F5F0F"/>
    <w:rsid w:val="00916B8E"/>
    <w:rsid w:val="00935062"/>
    <w:rsid w:val="00935DA4"/>
    <w:rsid w:val="00952359"/>
    <w:rsid w:val="00953FE0"/>
    <w:rsid w:val="00957560"/>
    <w:rsid w:val="00983F5C"/>
    <w:rsid w:val="00990626"/>
    <w:rsid w:val="00997215"/>
    <w:rsid w:val="009E1403"/>
    <w:rsid w:val="00A34402"/>
    <w:rsid w:val="00A63448"/>
    <w:rsid w:val="00AA2C99"/>
    <w:rsid w:val="00AB4073"/>
    <w:rsid w:val="00AB6BD8"/>
    <w:rsid w:val="00AC1070"/>
    <w:rsid w:val="00AD0B86"/>
    <w:rsid w:val="00AE13F5"/>
    <w:rsid w:val="00AF0C5F"/>
    <w:rsid w:val="00B12352"/>
    <w:rsid w:val="00B54E3F"/>
    <w:rsid w:val="00B669A0"/>
    <w:rsid w:val="00B837B5"/>
    <w:rsid w:val="00B86FD7"/>
    <w:rsid w:val="00B94426"/>
    <w:rsid w:val="00B95467"/>
    <w:rsid w:val="00BA1784"/>
    <w:rsid w:val="00BA4E19"/>
    <w:rsid w:val="00BB5AD1"/>
    <w:rsid w:val="00BB67D7"/>
    <w:rsid w:val="00BC1D9A"/>
    <w:rsid w:val="00BC6239"/>
    <w:rsid w:val="00C024A0"/>
    <w:rsid w:val="00C34944"/>
    <w:rsid w:val="00C46DCD"/>
    <w:rsid w:val="00C61528"/>
    <w:rsid w:val="00CA1C01"/>
    <w:rsid w:val="00CA3CA2"/>
    <w:rsid w:val="00CC6B37"/>
    <w:rsid w:val="00CD1815"/>
    <w:rsid w:val="00CF698C"/>
    <w:rsid w:val="00D4417C"/>
    <w:rsid w:val="00D47169"/>
    <w:rsid w:val="00D848D8"/>
    <w:rsid w:val="00DA2342"/>
    <w:rsid w:val="00DB610F"/>
    <w:rsid w:val="00DB7225"/>
    <w:rsid w:val="00E22B8C"/>
    <w:rsid w:val="00E22E82"/>
    <w:rsid w:val="00E3374F"/>
    <w:rsid w:val="00E7579B"/>
    <w:rsid w:val="00E75F98"/>
    <w:rsid w:val="00EF3688"/>
    <w:rsid w:val="00EF36D6"/>
    <w:rsid w:val="00EF4DF8"/>
    <w:rsid w:val="00F15FF7"/>
    <w:rsid w:val="00F30ECC"/>
    <w:rsid w:val="00F320D3"/>
    <w:rsid w:val="00F75ED9"/>
    <w:rsid w:val="00F77F49"/>
    <w:rsid w:val="00FB6631"/>
    <w:rsid w:val="00FD0F55"/>
    <w:rsid w:val="00FE1807"/>
    <w:rsid w:val="00FF13D0"/>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15897">
      <w:bodyDiv w:val="1"/>
      <w:marLeft w:val="0"/>
      <w:marRight w:val="0"/>
      <w:marTop w:val="0"/>
      <w:marBottom w:val="0"/>
      <w:divBdr>
        <w:top w:val="none" w:sz="0" w:space="0" w:color="auto"/>
        <w:left w:val="none" w:sz="0" w:space="0" w:color="auto"/>
        <w:bottom w:val="none" w:sz="0" w:space="0" w:color="auto"/>
        <w:right w:val="none" w:sz="0" w:space="0" w:color="auto"/>
      </w:divBdr>
    </w:div>
    <w:div w:id="661082594">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544949670">
      <w:bodyDiv w:val="1"/>
      <w:marLeft w:val="0"/>
      <w:marRight w:val="0"/>
      <w:marTop w:val="0"/>
      <w:marBottom w:val="0"/>
      <w:divBdr>
        <w:top w:val="none" w:sz="0" w:space="0" w:color="auto"/>
        <w:left w:val="none" w:sz="0" w:space="0" w:color="auto"/>
        <w:bottom w:val="none" w:sz="0" w:space="0" w:color="auto"/>
        <w:right w:val="none" w:sz="0" w:space="0" w:color="auto"/>
      </w:divBdr>
    </w:div>
    <w:div w:id="166993889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986815497">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CPR/C/EST/CO/4&amp;Lang=En" TargetMode="External"/><Relationship Id="rId13" Type="http://schemas.openxmlformats.org/officeDocument/2006/relationships/hyperlink" Target="https://docstore.ohchr.org/SelfServices/FilesHandler.ashx?enc=4slQ6QSmlBEDzFEovLCuW1SKyxvprlxEitT1iPv5tsGoOiIeUbYK%2fAGvhE93KLAxM4z30cuUy4UFO6QpIsZDcil3ru4bJJOV1bQqfTumayrWAHmbmL8hJ8qa%2feIa%2bbxB" TargetMode="External"/><Relationship Id="rId18" Type="http://schemas.openxmlformats.org/officeDocument/2006/relationships/hyperlink" Target="https://tbinternet.ohchr.org/_layouts/15/treatybodyexternal/Download.aspx?symbolno=CCPR/C/EST/CO/4&amp;Lang=En"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tbinternet.ohchr.org/_layouts/15/treatybodyexternal/Download.aspx?symbolno=CCPR/C/EST/CO/4&amp;Lang=En" TargetMode="Externa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CCPR/C/EST/CO/4&amp;Lang=En" TargetMode="External"/><Relationship Id="rId17" Type="http://schemas.openxmlformats.org/officeDocument/2006/relationships/hyperlink" Target="https://tbinternet.ohchr.org/_layouts/15/treatybodyexternal/Download.aspx?symbolno=E/C.12/EST/CO/3&amp;Lang=E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hri.ohchr.org/EN/AboutUs/GANHRIAccreditation/Documents/SCA%20Report%20December%202020%20-%2024012021%20-%20En.pdf" TargetMode="External"/><Relationship Id="rId20" Type="http://schemas.openxmlformats.org/officeDocument/2006/relationships/hyperlink" Target="https://tbinternet.ohchr.org/_layouts/15/treatybodyexternal/Download.aspx?symbolno=CCPR/C/EST/CO/4&amp;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_layouts/15/treatybodyexternal/Download.aspx?symbolno=CCPR/C/EST/CO/4&amp;Lang=E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binternet.ohchr.org/_layouts/15/treatybodyexternal/Download.aspx?symbolno=CCPR/C/EST/CO/4&amp;Lang=En" TargetMode="External"/><Relationship Id="rId23" Type="http://schemas.openxmlformats.org/officeDocument/2006/relationships/footer" Target="footer1.xml"/><Relationship Id="rId10" Type="http://schemas.openxmlformats.org/officeDocument/2006/relationships/hyperlink" Target="https://tbinternet.ohchr.org/_layouts/15/treatybodyexternal/Download.aspx?symbolno=CCPR/C/EST/CO/4&amp;Lang=En" TargetMode="External"/><Relationship Id="rId19" Type="http://schemas.openxmlformats.org/officeDocument/2006/relationships/hyperlink" Target="https://tbinternet.ohchr.org/_layouts/15/treatybodyexternal/Download.aspx?symbolno=CCPR/C/EST/CO/4&amp;Lang=En" TargetMode="Externa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CPR/C/EST/CO/4&amp;Lang=En" TargetMode="External"/><Relationship Id="rId14" Type="http://schemas.openxmlformats.org/officeDocument/2006/relationships/hyperlink" Target="https://tbinternet.ohchr.org/_layouts/15/treatybodyexternal/Download.aspx?symbolno=CCPR/C/EST/CO/4&amp;Lang=En" TargetMode="External"/><Relationship Id="rId22" Type="http://schemas.openxmlformats.org/officeDocument/2006/relationships/hyperlink" Target="https://tbinternet.ohchr.org/_layouts/15/treatybodyexternal/Download.aspx?symbolno=CCPR/C/EST/CO/4&amp;Lang=En" TargetMode="Externa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10363-8AFF-45D2-9F95-78680ADF7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3330</Words>
  <Characters>18987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Marie-Dominique</cp:lastModifiedBy>
  <cp:revision>2</cp:revision>
  <dcterms:created xsi:type="dcterms:W3CDTF">2021-03-08T09:46:00Z</dcterms:created>
  <dcterms:modified xsi:type="dcterms:W3CDTF">2021-03-08T09:46:00Z</dcterms:modified>
</cp:coreProperties>
</file>